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5376" w14:textId="3C58A185" w:rsidR="002B7033" w:rsidRPr="002B7033" w:rsidRDefault="002B7033" w:rsidP="00AC7A02">
      <w:pPr>
        <w:rPr>
          <w:b/>
          <w:bCs/>
        </w:rPr>
      </w:pPr>
      <w:r w:rsidRPr="002B7033">
        <w:rPr>
          <w:b/>
          <w:bCs/>
          <w:highlight w:val="yellow"/>
        </w:rPr>
        <w:t>BORRADOR, EJEMPLO DE AMICUS</w:t>
      </w:r>
    </w:p>
    <w:p w14:paraId="44B5C4D3" w14:textId="1537C800" w:rsidR="00AC7A02" w:rsidRDefault="00AC7A02" w:rsidP="00AC7A02">
      <w:r>
        <w:t>Ecuador</w:t>
      </w:r>
      <w:r w:rsidR="00F86B44">
        <w:t>, junio</w:t>
      </w:r>
      <w:r>
        <w:t xml:space="preserve"> de 2023</w:t>
      </w:r>
    </w:p>
    <w:p w14:paraId="0C4CA168" w14:textId="4A1E7F88" w:rsidR="00AC7A02" w:rsidRDefault="00AC7A02" w:rsidP="00AC7A02">
      <w:r>
        <w:t>Ref. Causa</w:t>
      </w:r>
      <w:r w:rsidR="00F86B44">
        <w:t xml:space="preserve">, </w:t>
      </w:r>
      <w:r w:rsidR="00F86B44" w:rsidRPr="00F86B44">
        <w:t>Acción de Protección contra Política Pública, Proceso número: 17U05-2023-00018 (1) Primera Instancia</w:t>
      </w:r>
    </w:p>
    <w:p w14:paraId="4E1A30D3" w14:textId="4BCC08D8" w:rsidR="00AC7A02" w:rsidRDefault="00AC7A02" w:rsidP="00F86B44">
      <w:r>
        <w:t>Estimado</w:t>
      </w:r>
      <w:r w:rsidR="00F86B44">
        <w:t>s s</w:t>
      </w:r>
      <w:r w:rsidR="00F86B44" w:rsidRPr="00F86B44">
        <w:t>eñores Jueces Vicente Fernando Hidalgo Maldonado y Renán Eduardo Andrade Castillo</w:t>
      </w:r>
      <w:r w:rsidR="002B7033">
        <w:t xml:space="preserve">, </w:t>
      </w:r>
      <w:r w:rsidR="00F86B44">
        <w:t>JUECES DE LA UNIDAD JUDICIAL DE GARANTÍAS PENALES ESPECIALIZADA PARA EL JUZGAMIENTO DE DELITOS RELACIONADOS CON CORRUPCIÓN Y CRIMEN ORGANIZADO</w:t>
      </w:r>
      <w:r w:rsidR="00F86B44">
        <w:cr/>
      </w:r>
    </w:p>
    <w:p w14:paraId="22176D62" w14:textId="7C8A909C" w:rsidR="00AC7A02" w:rsidRDefault="00AC7A02" w:rsidP="00AC7A02">
      <w:r>
        <w:t xml:space="preserve">Ref.- Selección - Caso No. </w:t>
      </w:r>
      <w:r w:rsidR="00F86B44" w:rsidRPr="00F86B44">
        <w:t>17U05-2023-00018 (1) Primera Instancia</w:t>
      </w:r>
      <w:r w:rsidR="00F86B44">
        <w:t xml:space="preserve">, </w:t>
      </w:r>
      <w:r>
        <w:t>relativo a la acción de protección presentada el</w:t>
      </w:r>
      <w:r w:rsidR="00F86B44">
        <w:t xml:space="preserve"> 31 de mayo de 2023</w:t>
      </w:r>
      <w:r>
        <w:t xml:space="preserve"> por la abogada Angélica Porras </w:t>
      </w:r>
      <w:r w:rsidR="001715D9">
        <w:t xml:space="preserve">Velasco y el abogado </w:t>
      </w:r>
      <w:r w:rsidR="001715D9" w:rsidRPr="001715D9">
        <w:t>Richard González Dávila</w:t>
      </w:r>
      <w:r w:rsidR="001715D9">
        <w:t xml:space="preserve">, </w:t>
      </w:r>
      <w:r>
        <w:t xml:space="preserve">en representación de los ciudadanos: </w:t>
      </w:r>
      <w:r w:rsidR="002B7033" w:rsidRPr="002B7033">
        <w:t xml:space="preserve">Hugo Gerardo Noboa Cruz, Hugo Miguel Malo Serrano, Daniel Felipe Dorado Torres, Olga Virginia Gómez de la Torres, Jimena de los Ángeles Gudiño Cisneros, Federico Fernando </w:t>
      </w:r>
      <w:proofErr w:type="spellStart"/>
      <w:r w:rsidR="002B7033" w:rsidRPr="002B7033">
        <w:t>Sacoto</w:t>
      </w:r>
      <w:proofErr w:type="spellEnd"/>
      <w:r w:rsidR="002B7033" w:rsidRPr="002B7033">
        <w:t xml:space="preserve"> </w:t>
      </w:r>
      <w:proofErr w:type="spellStart"/>
      <w:r w:rsidR="002B7033" w:rsidRPr="002B7033">
        <w:t>Aizaga</w:t>
      </w:r>
      <w:proofErr w:type="spellEnd"/>
      <w:r w:rsidR="002B7033" w:rsidRPr="002B7033">
        <w:t xml:space="preserve">, Juana María Magdalena Freire </w:t>
      </w:r>
      <w:proofErr w:type="spellStart"/>
      <w:r w:rsidR="002B7033" w:rsidRPr="002B7033">
        <w:t>Bucheli</w:t>
      </w:r>
      <w:proofErr w:type="spellEnd"/>
      <w:r w:rsidR="002B7033" w:rsidRPr="002B7033">
        <w:t xml:space="preserve"> y Verónica Alejandra Chávez Maldonado</w:t>
      </w:r>
    </w:p>
    <w:p w14:paraId="7206D9AC" w14:textId="77777777" w:rsidR="00AC7A02" w:rsidRDefault="00AC7A02" w:rsidP="00AC7A02"/>
    <w:p w14:paraId="14270524" w14:textId="7AB4D36A" w:rsidR="00AC7A02" w:rsidRDefault="00AC7A02" w:rsidP="00AC7A02">
      <w:r>
        <w:t xml:space="preserve">AMICUS CURIAE A LA DEMANDA DE INCONSTITUCIONALIDAD E ILEGALIDAD DEL DECRETO EJECUTIVO 645 DEL 10 DE ENERO DE 2023. Presentada </w:t>
      </w:r>
      <w:r w:rsidR="002B7033">
        <w:t xml:space="preserve">el 31 de mayo de 2023 </w:t>
      </w:r>
      <w:r>
        <w:t>a</w:t>
      </w:r>
      <w:r w:rsidR="002B7033">
        <w:t>l</w:t>
      </w:r>
      <w:r>
        <w:t xml:space="preserve"> </w:t>
      </w:r>
      <w:r w:rsidR="002B7033" w:rsidRPr="002B7033">
        <w:t>JUE</w:t>
      </w:r>
      <w:r w:rsidR="002B7033">
        <w:t>Z</w:t>
      </w:r>
      <w:r w:rsidR="002B7033" w:rsidRPr="002B7033">
        <w:t xml:space="preserve"> DE LA UNIDAD JUDICIAL DE GARANTÍAS PENALES ESPECIALIZADA PARA EL JUZGAMIENTO DE DELITOS RELACIONADOS CON CORRUPCIÓN Y CRIMEN ORGANIZADO</w:t>
      </w:r>
    </w:p>
    <w:p w14:paraId="7EDA8443" w14:textId="62FCB054" w:rsidR="00AC7A02" w:rsidRDefault="00AC7A02" w:rsidP="00AC7A02">
      <w:r>
        <w:t xml:space="preserve">Por: </w:t>
      </w:r>
      <w:r w:rsidRPr="002B7033">
        <w:rPr>
          <w:highlight w:val="yellow"/>
        </w:rPr>
        <w:t>XXX firmante</w:t>
      </w:r>
      <w:r w:rsidR="001715D9">
        <w:rPr>
          <w:highlight w:val="yellow"/>
        </w:rPr>
        <w:t>(</w:t>
      </w:r>
      <w:r w:rsidRPr="002B7033">
        <w:rPr>
          <w:highlight w:val="yellow"/>
        </w:rPr>
        <w:t>s</w:t>
      </w:r>
      <w:r w:rsidR="001715D9">
        <w:rPr>
          <w:highlight w:val="yellow"/>
        </w:rPr>
        <w:t>)</w:t>
      </w:r>
      <w:r w:rsidRPr="002B7033">
        <w:rPr>
          <w:highlight w:val="yellow"/>
        </w:rPr>
        <w:t xml:space="preserve"> del </w:t>
      </w:r>
      <w:proofErr w:type="spellStart"/>
      <w:r w:rsidRPr="002B7033">
        <w:rPr>
          <w:highlight w:val="yellow"/>
        </w:rPr>
        <w:t>Amicus</w:t>
      </w:r>
      <w:proofErr w:type="spellEnd"/>
    </w:p>
    <w:p w14:paraId="4C6C39D4" w14:textId="77777777" w:rsidR="002B7033" w:rsidRDefault="002B7033" w:rsidP="00AC7A02"/>
    <w:p w14:paraId="2CED427E" w14:textId="7C7F4F6B" w:rsidR="00AC7A02" w:rsidRDefault="00AC7A02" w:rsidP="00AC7A02">
      <w:r>
        <w:t>Reciba</w:t>
      </w:r>
      <w:r w:rsidR="002B7033">
        <w:t>n</w:t>
      </w:r>
      <w:r>
        <w:t xml:space="preserve"> un cordial saludo de </w:t>
      </w:r>
      <w:r w:rsidR="002B7033" w:rsidRPr="002B7033">
        <w:rPr>
          <w:highlight w:val="yellow"/>
        </w:rPr>
        <w:t>quien,</w:t>
      </w:r>
      <w:r w:rsidR="002B7033">
        <w:t xml:space="preserve"> </w:t>
      </w:r>
      <w:r w:rsidRPr="002B7033">
        <w:rPr>
          <w:highlight w:val="yellow"/>
        </w:rPr>
        <w:t>quienes, como ciudadanos y parte de diversas organizaciones sociales, populares, académicas, gremiales y de defensa de derechos.</w:t>
      </w:r>
      <w:r w:rsidR="002B7033">
        <w:t xml:space="preserve"> </w:t>
      </w:r>
      <w:r w:rsidR="002B7033" w:rsidRPr="002B7033">
        <w:rPr>
          <w:highlight w:val="yellow"/>
        </w:rPr>
        <w:t>(nombres que correspondan)</w:t>
      </w:r>
    </w:p>
    <w:p w14:paraId="02369A19" w14:textId="58ED2883" w:rsidR="002B7033" w:rsidRDefault="002B7033" w:rsidP="002B7033">
      <w:r>
        <w:t>Considero que el presente caso reviste gran relevancia para la protección de derechos humanos de la población que reside en el territorio ecuatoriano, sobre todo en relación a la protección de la vida y de la salud. Pero también en relación a la protección del ambiente y la seguridad ciudadana.</w:t>
      </w:r>
    </w:p>
    <w:p w14:paraId="0A2A5627" w14:textId="5A1C1280" w:rsidR="002B7033" w:rsidRDefault="002B7033" w:rsidP="002B7033">
      <w:pPr>
        <w:rPr>
          <w:i/>
          <w:iCs/>
        </w:rPr>
      </w:pPr>
      <w:r>
        <w:t xml:space="preserve">Fundamento mi </w:t>
      </w:r>
      <w:proofErr w:type="spellStart"/>
      <w:r>
        <w:t>amicus</w:t>
      </w:r>
      <w:proofErr w:type="spellEnd"/>
      <w:r>
        <w:t xml:space="preserve"> </w:t>
      </w:r>
      <w:proofErr w:type="spellStart"/>
      <w:r>
        <w:t>curiae</w:t>
      </w:r>
      <w:proofErr w:type="spellEnd"/>
      <w:r>
        <w:t xml:space="preserve"> en el artículo 12 de la Ley Orgánica de Garantías Constitucionales y Control Constitucional que dice </w:t>
      </w:r>
      <w:r w:rsidRPr="002B7033">
        <w:rPr>
          <w:i/>
          <w:iCs/>
        </w:rPr>
        <w:t xml:space="preserve">“Cualquier persona o grupo de personas que tenga interés en la causa podrá presentar un escrito de </w:t>
      </w:r>
      <w:proofErr w:type="spellStart"/>
      <w:r w:rsidRPr="002B7033">
        <w:rPr>
          <w:i/>
          <w:iCs/>
        </w:rPr>
        <w:t>amicus</w:t>
      </w:r>
      <w:proofErr w:type="spellEnd"/>
      <w:r w:rsidRPr="002B7033">
        <w:rPr>
          <w:i/>
          <w:iCs/>
        </w:rPr>
        <w:t xml:space="preserve"> </w:t>
      </w:r>
      <w:proofErr w:type="spellStart"/>
      <w:r w:rsidRPr="002B7033">
        <w:rPr>
          <w:i/>
          <w:iCs/>
        </w:rPr>
        <w:t>curiae</w:t>
      </w:r>
      <w:proofErr w:type="spellEnd"/>
      <w:r w:rsidRPr="002B7033">
        <w:rPr>
          <w:i/>
          <w:iCs/>
        </w:rPr>
        <w:t xml:space="preserve"> que será admitido al expediente para mejor resolver hasta antes de la sentencia”.</w:t>
      </w:r>
    </w:p>
    <w:p w14:paraId="22129CBB" w14:textId="77777777" w:rsidR="00123E4C" w:rsidRDefault="00123E4C" w:rsidP="00123E4C">
      <w:r>
        <w:t xml:space="preserve">El </w:t>
      </w:r>
      <w:proofErr w:type="spellStart"/>
      <w:r>
        <w:t>amicus</w:t>
      </w:r>
      <w:proofErr w:type="spellEnd"/>
      <w:r>
        <w:t xml:space="preserve"> versará sobre los siguientes temas:</w:t>
      </w:r>
    </w:p>
    <w:p w14:paraId="0F0483E9" w14:textId="5D40F6BF" w:rsidR="00123E4C" w:rsidRDefault="00123E4C" w:rsidP="00123E4C">
      <w:pPr>
        <w:pStyle w:val="Prrafodelista"/>
        <w:numPr>
          <w:ilvl w:val="0"/>
          <w:numId w:val="1"/>
        </w:numPr>
      </w:pPr>
      <w:r>
        <w:t>Antecedentes</w:t>
      </w:r>
    </w:p>
    <w:p w14:paraId="25D4DE7B" w14:textId="2046DE45" w:rsidR="00123E4C" w:rsidRDefault="00123E4C" w:rsidP="00123E4C">
      <w:pPr>
        <w:pStyle w:val="Prrafodelista"/>
        <w:numPr>
          <w:ilvl w:val="0"/>
          <w:numId w:val="1"/>
        </w:numPr>
      </w:pPr>
      <w:r>
        <w:t>Argumentos</w:t>
      </w:r>
    </w:p>
    <w:p w14:paraId="3DA58820" w14:textId="59C9D196" w:rsidR="00123E4C" w:rsidRDefault="00123E4C" w:rsidP="00123E4C">
      <w:pPr>
        <w:pStyle w:val="Prrafodelista"/>
        <w:numPr>
          <w:ilvl w:val="0"/>
          <w:numId w:val="1"/>
        </w:numPr>
      </w:pPr>
      <w:r>
        <w:t>Conclusión</w:t>
      </w:r>
    </w:p>
    <w:p w14:paraId="3EF38D84" w14:textId="77777777" w:rsidR="00123E4C" w:rsidRDefault="00123E4C" w:rsidP="00123E4C"/>
    <w:p w14:paraId="4C6CE98F" w14:textId="33E04CEA" w:rsidR="00123E4C" w:rsidRPr="00123E4C" w:rsidRDefault="00123E4C" w:rsidP="00123E4C">
      <w:pPr>
        <w:rPr>
          <w:b/>
          <w:bCs/>
        </w:rPr>
      </w:pPr>
      <w:r w:rsidRPr="00123E4C">
        <w:rPr>
          <w:b/>
          <w:bCs/>
        </w:rPr>
        <w:t>Notificaciones</w:t>
      </w:r>
    </w:p>
    <w:p w14:paraId="0948EF31" w14:textId="6DF194B2" w:rsidR="00123E4C" w:rsidRDefault="00123E4C" w:rsidP="00123E4C">
      <w:r>
        <w:t xml:space="preserve">Futuras notificaciones las recibiré en el correo electrónico: </w:t>
      </w:r>
      <w:r w:rsidRPr="00123E4C">
        <w:rPr>
          <w:highlight w:val="yellow"/>
        </w:rPr>
        <w:t>xxx</w:t>
      </w:r>
    </w:p>
    <w:p w14:paraId="741F5141" w14:textId="77777777" w:rsidR="00123E4C" w:rsidRDefault="00123E4C" w:rsidP="00123E4C"/>
    <w:p w14:paraId="4E0CCEEA" w14:textId="67E26A92" w:rsidR="00123E4C" w:rsidRPr="00123E4C" w:rsidRDefault="00123E4C" w:rsidP="00123E4C">
      <w:pPr>
        <w:rPr>
          <w:b/>
          <w:bCs/>
        </w:rPr>
      </w:pPr>
      <w:r w:rsidRPr="00123E4C">
        <w:rPr>
          <w:b/>
          <w:bCs/>
        </w:rPr>
        <w:t>Pretensión</w:t>
      </w:r>
    </w:p>
    <w:p w14:paraId="5C6AD5FA" w14:textId="707D323B" w:rsidR="00123E4C" w:rsidRDefault="00123E4C" w:rsidP="00123E4C">
      <w:r>
        <w:t>1. Se me considere y acepte como AMISCURIANTE dentro del proceso.</w:t>
      </w:r>
    </w:p>
    <w:p w14:paraId="22E40FDE" w14:textId="5E00DA79" w:rsidR="002B7033" w:rsidRDefault="00123E4C" w:rsidP="00123E4C">
      <w:r>
        <w:t>2. Se me permita participar y presentar el AMICUS CURIAE en la audiencia pública, para lo que se me notificará el lugar y día de la audiencia, así como el link en caso de que sea necesario participar virtualmente.</w:t>
      </w:r>
      <w:r w:rsidR="001715D9">
        <w:t xml:space="preserve"> </w:t>
      </w:r>
      <w:r w:rsidR="001715D9" w:rsidRPr="001715D9">
        <w:rPr>
          <w:highlight w:val="yellow"/>
        </w:rPr>
        <w:t>(entiendo opcional este segundo punto)</w:t>
      </w:r>
    </w:p>
    <w:p w14:paraId="4641958E" w14:textId="77777777" w:rsidR="00123E4C" w:rsidRDefault="00123E4C" w:rsidP="00123E4C"/>
    <w:p w14:paraId="432CE050" w14:textId="7525CD4A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Firma</w:t>
      </w:r>
    </w:p>
    <w:p w14:paraId="032E8012" w14:textId="58D16BEA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NOMBRES COMPLETOS</w:t>
      </w:r>
    </w:p>
    <w:p w14:paraId="472D1E2A" w14:textId="5344704D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CC XXX (o documento de identificación)</w:t>
      </w:r>
    </w:p>
    <w:p w14:paraId="07937658" w14:textId="4494637B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DOMICILIO</w:t>
      </w:r>
    </w:p>
    <w:p w14:paraId="7A8B58A8" w14:textId="5AB5E125" w:rsidR="00123E4C" w:rsidRDefault="00123E4C" w:rsidP="00123E4C">
      <w:r w:rsidRPr="00123E4C">
        <w:rPr>
          <w:highlight w:val="yellow"/>
        </w:rPr>
        <w:t>INSTITUCIÓN U ORGANIZACIÓN (si fuera el caso)</w:t>
      </w:r>
    </w:p>
    <w:p w14:paraId="20562775" w14:textId="77777777" w:rsidR="00123E4C" w:rsidRDefault="00123E4C" w:rsidP="00123E4C"/>
    <w:p w14:paraId="188CA224" w14:textId="41C2A77E" w:rsidR="00123E4C" w:rsidRPr="009D19F1" w:rsidRDefault="00123E4C" w:rsidP="00123E4C">
      <w:pPr>
        <w:pStyle w:val="Prrafodelista"/>
        <w:numPr>
          <w:ilvl w:val="0"/>
          <w:numId w:val="4"/>
        </w:numPr>
        <w:rPr>
          <w:b/>
          <w:bCs/>
        </w:rPr>
      </w:pPr>
      <w:r w:rsidRPr="009D19F1">
        <w:rPr>
          <w:b/>
          <w:bCs/>
        </w:rPr>
        <w:t>ANTECEDENTES</w:t>
      </w:r>
    </w:p>
    <w:p w14:paraId="6B8E353D" w14:textId="287BF802" w:rsidR="009D19F1" w:rsidRDefault="009D19F1" w:rsidP="009D19F1">
      <w:r>
        <w:t xml:space="preserve">El día 10 de enero de 2023, mediante Decreto Ejecutivo Nº 645, el </w:t>
      </w:r>
      <w:r w:rsidR="001715D9">
        <w:t>presidente</w:t>
      </w:r>
      <w:r>
        <w:t xml:space="preserve"> Guillermo Lasso revirtió una medida técnica que el pasado 27 de diciembre de 2022 tomó el Servicio de Rentas Internas (SRI) mediante RESOLUCIÓN No. NAC-DGERCGC22-00000063.</w:t>
      </w:r>
    </w:p>
    <w:p w14:paraId="499D510E" w14:textId="359B80E6" w:rsidR="009D19F1" w:rsidRDefault="009D19F1" w:rsidP="009D19F1">
      <w:r>
        <w:t xml:space="preserve">La resolución del SRI, que fue bien vista por la ciudadanía, por las organizaciones sociales, incluso por el Ministerio de Salud Pública (COMUNICADO: Ministerio de Salud Pública respalda el ajuste al impuesto de productos no saludables </w:t>
      </w:r>
      <w:hyperlink r:id="rId5" w:history="1">
        <w:r w:rsidRPr="008D3EEE">
          <w:rPr>
            <w:rStyle w:val="Hipervnculo"/>
          </w:rPr>
          <w:t>https://www.salud.gob.ec/ministerio-de-salud-publica-respalda-el-ajuste-al-impuesto-de-productos-no-saludables/</w:t>
        </w:r>
      </w:hyperlink>
      <w:r>
        <w:t xml:space="preserve">  6 enero 2023), por organismos de Naciones Unidas como OPS/OMS, UNICEF, PMA, FAO, PNUD y numerosas organizaciones nacionales e internacionales comprometidas con la defensa de la salud y la contención de la pandemia de enfermedades no transmisibles (ENT, cardiovasculares, cáncer, diabetes, respiratorias crónicas): Únicamente pretendía ajustar por la inflación el impuesto a consumos especiales (ICE) de cuatro tipos de productos que atentan contra la salud de los seres humanos y la naturaleza: tabaco, alcohol, bebidas industriales azucaradas y fundas plásticas.</w:t>
      </w:r>
    </w:p>
    <w:p w14:paraId="333B7581" w14:textId="20D9DF52" w:rsidR="009D19F1" w:rsidRDefault="009D19F1" w:rsidP="009D19F1">
      <w:r>
        <w:t xml:space="preserve">El Decreto Ejecutivo elimina la medida del SRI y disminuye los impuestos específicos (ICE) a esos productos. Pero también hace una sustancial disminución del ICE ad </w:t>
      </w:r>
      <w:proofErr w:type="spellStart"/>
      <w:r>
        <w:t>valorem</w:t>
      </w:r>
      <w:proofErr w:type="spellEnd"/>
      <w:r>
        <w:t xml:space="preserve"> de cigarrillos electrónicos y otros sistemas electrónicos de administración de nicotina (del 150% a 50%), precisamente cuando la industria de tabaco en el mundo está apuntando al predominio de estos nuevos dispositivos electrónicos. El decreto hace también una disminución del ICE a las armas </w:t>
      </w:r>
      <w:r w:rsidR="001715D9">
        <w:t xml:space="preserve">de fuego </w:t>
      </w:r>
      <w:r>
        <w:t>(300% a 30%).</w:t>
      </w:r>
    </w:p>
    <w:p w14:paraId="6D3A05E4" w14:textId="0B17B387" w:rsidR="00123E4C" w:rsidRDefault="009D19F1" w:rsidP="009D19F1">
      <w:r>
        <w:t>En virtud del principio de progresividad de los derechos humanos, esta medida resulta atentatoria de los diversos instrumentos internacionales sobre la materia que ha ratificado Ecuador y que hacen parte del ordenamiento jurídico interno.</w:t>
      </w:r>
    </w:p>
    <w:p w14:paraId="71CEFE96" w14:textId="1F480230" w:rsidR="009D19F1" w:rsidRDefault="009D19F1" w:rsidP="009D19F1">
      <w:r>
        <w:t>El decreto 645, que como tal es una política pública regresiva en derechos, contradice lo contemplado en el Art. 85 de la Constitución de la República del Ecuador, que señala:</w:t>
      </w:r>
    </w:p>
    <w:p w14:paraId="575C793D" w14:textId="44C19B92" w:rsidR="009D19F1" w:rsidRPr="009D19F1" w:rsidRDefault="009D19F1" w:rsidP="009D19F1">
      <w:pPr>
        <w:ind w:left="708"/>
        <w:rPr>
          <w:i/>
          <w:iCs/>
        </w:rPr>
      </w:pPr>
      <w:r w:rsidRPr="009D19F1">
        <w:rPr>
          <w:i/>
          <w:iCs/>
        </w:rPr>
        <w:lastRenderedPageBreak/>
        <w:t>“Art. 85.- La formulación, ejecución, evaluación y control de las políticas públicas y servicios públicos que garanticen los derechos reconocidos por la Constitución, se regularán de acuerdo con las siguientes disposiciones:</w:t>
      </w:r>
    </w:p>
    <w:p w14:paraId="70F18535" w14:textId="6C48845E" w:rsidR="009D19F1" w:rsidRPr="009D19F1" w:rsidRDefault="009D19F1" w:rsidP="009D19F1">
      <w:pPr>
        <w:ind w:left="708"/>
        <w:rPr>
          <w:i/>
          <w:iCs/>
        </w:rPr>
      </w:pPr>
      <w:r w:rsidRPr="009D19F1">
        <w:rPr>
          <w:i/>
          <w:iCs/>
        </w:rPr>
        <w:t>1. Las políticas públicas y la prestación de bienes y servicios públicos se orientarán a hacer efectivos el buen vivir y todos los derechos, y se formularán a partir del principio de solidaridad.</w:t>
      </w:r>
    </w:p>
    <w:p w14:paraId="408580F7" w14:textId="19CA1803" w:rsidR="009D19F1" w:rsidRPr="009D19F1" w:rsidRDefault="009D19F1" w:rsidP="009D19F1">
      <w:pPr>
        <w:ind w:left="708"/>
        <w:rPr>
          <w:i/>
          <w:iCs/>
        </w:rPr>
      </w:pPr>
      <w:r w:rsidRPr="009D19F1">
        <w:rPr>
          <w:i/>
          <w:iCs/>
        </w:rPr>
        <w:t>2. Sin perjuicio de la prevalencia del interés general sobre el interés particular, cuando los efectos de la ejecución de las políticas públicas o prestación de bienes o servicios públicos vulneren o amenacen con vulnerar derechos constitucionales, la política o prestación deberá reformularse o se adoptarán medidas alternativas que concilien los derechos en conflicto.</w:t>
      </w:r>
    </w:p>
    <w:p w14:paraId="1CC10BCE" w14:textId="3F3423DD" w:rsidR="009D19F1" w:rsidRPr="009D19F1" w:rsidRDefault="009D19F1" w:rsidP="009D19F1">
      <w:pPr>
        <w:ind w:left="708"/>
        <w:rPr>
          <w:i/>
          <w:iCs/>
        </w:rPr>
      </w:pPr>
      <w:r w:rsidRPr="009D19F1">
        <w:rPr>
          <w:i/>
          <w:iCs/>
        </w:rPr>
        <w:t>3. El Estado garantizará la distribución equitativa y solidaria del presupuesto para la ejecución de las políticas públicas y la prestación de bienes y servicios públicos.</w:t>
      </w:r>
    </w:p>
    <w:p w14:paraId="1FA961A0" w14:textId="3E01FF3A" w:rsidR="009D19F1" w:rsidRDefault="009D19F1" w:rsidP="009D19F1">
      <w:pPr>
        <w:ind w:left="708"/>
        <w:rPr>
          <w:i/>
          <w:iCs/>
        </w:rPr>
      </w:pPr>
      <w:r w:rsidRPr="009D19F1">
        <w:rPr>
          <w:i/>
          <w:iCs/>
        </w:rPr>
        <w:t>En la formulación, ejecución, evaluación y control de las políticas públicas y servicios públicos se garantizará la participación de las personas, comunidades, pueblos y nacionalidades.”</w:t>
      </w:r>
    </w:p>
    <w:p w14:paraId="0EFCADB1" w14:textId="77777777" w:rsidR="009D19F1" w:rsidRDefault="009D19F1" w:rsidP="009D19F1">
      <w:pPr>
        <w:ind w:left="708"/>
        <w:rPr>
          <w:i/>
          <w:iCs/>
        </w:rPr>
      </w:pPr>
    </w:p>
    <w:p w14:paraId="2BFD84FD" w14:textId="4C381A4A" w:rsidR="009D19F1" w:rsidRPr="00054839" w:rsidRDefault="00B57ABE" w:rsidP="00B57ABE">
      <w:pPr>
        <w:pStyle w:val="Prrafodelista"/>
        <w:numPr>
          <w:ilvl w:val="0"/>
          <w:numId w:val="4"/>
        </w:numPr>
        <w:rPr>
          <w:b/>
          <w:bCs/>
        </w:rPr>
      </w:pPr>
      <w:r w:rsidRPr="00054839">
        <w:rPr>
          <w:b/>
          <w:bCs/>
        </w:rPr>
        <w:t>ARGUMENTOS</w:t>
      </w:r>
    </w:p>
    <w:p w14:paraId="733A2118" w14:textId="20262A68" w:rsidR="00C416E3" w:rsidRDefault="00E6699B" w:rsidP="00B57ABE">
      <w:pPr>
        <w:rPr>
          <w:b/>
          <w:bCs/>
        </w:rPr>
      </w:pPr>
      <w:r w:rsidRPr="00E6699B">
        <w:rPr>
          <w:b/>
          <w:bCs/>
          <w:highlight w:val="yellow"/>
        </w:rPr>
        <w:t>Desarrollar argumentación</w:t>
      </w:r>
    </w:p>
    <w:p w14:paraId="57B450F2" w14:textId="0253E26D" w:rsidR="00054839" w:rsidRPr="008262AB" w:rsidRDefault="00054839" w:rsidP="00054839"/>
    <w:p w14:paraId="63BBCE90" w14:textId="2561FC63" w:rsidR="008262AB" w:rsidRDefault="004360A9" w:rsidP="004360A9">
      <w:pPr>
        <w:pStyle w:val="Prrafodelista"/>
        <w:numPr>
          <w:ilvl w:val="0"/>
          <w:numId w:val="4"/>
        </w:numPr>
        <w:rPr>
          <w:b/>
          <w:bCs/>
        </w:rPr>
      </w:pPr>
      <w:r w:rsidRPr="004360A9">
        <w:rPr>
          <w:b/>
          <w:bCs/>
        </w:rPr>
        <w:t>CONCLUSIÓN</w:t>
      </w:r>
    </w:p>
    <w:p w14:paraId="004A7E1B" w14:textId="1BD3D94B" w:rsidR="00E6699B" w:rsidRPr="00E6699B" w:rsidRDefault="00E6699B" w:rsidP="00E6699B">
      <w:pPr>
        <w:rPr>
          <w:b/>
          <w:bCs/>
        </w:rPr>
      </w:pPr>
      <w:bookmarkStart w:id="0" w:name="_GoBack"/>
      <w:bookmarkEnd w:id="0"/>
      <w:r w:rsidRPr="00E6699B">
        <w:rPr>
          <w:b/>
          <w:bCs/>
          <w:highlight w:val="yellow"/>
        </w:rPr>
        <w:t xml:space="preserve">Desarrollar </w:t>
      </w:r>
      <w:r w:rsidRPr="00E6699B">
        <w:rPr>
          <w:b/>
          <w:bCs/>
          <w:highlight w:val="yellow"/>
        </w:rPr>
        <w:t>conclusión</w:t>
      </w:r>
    </w:p>
    <w:p w14:paraId="24D35421" w14:textId="77777777" w:rsidR="00E6699B" w:rsidRDefault="00E6699B" w:rsidP="004360A9"/>
    <w:p w14:paraId="2C5AD05C" w14:textId="77777777" w:rsidR="00E6699B" w:rsidRDefault="00E6699B" w:rsidP="004360A9"/>
    <w:p w14:paraId="35616C7F" w14:textId="5A4F396C" w:rsidR="00AF4CCC" w:rsidRDefault="00AF4CCC" w:rsidP="004360A9">
      <w:r>
        <w:t>Atentamente;</w:t>
      </w:r>
    </w:p>
    <w:p w14:paraId="64A29DFD" w14:textId="77777777" w:rsidR="00AF4CCC" w:rsidRDefault="00AF4CCC" w:rsidP="004360A9"/>
    <w:p w14:paraId="3A567118" w14:textId="3A5961C6" w:rsidR="00AF4CCC" w:rsidRPr="00AF4CCC" w:rsidRDefault="00AF4CCC" w:rsidP="004360A9">
      <w:pPr>
        <w:rPr>
          <w:highlight w:val="yellow"/>
        </w:rPr>
      </w:pPr>
      <w:r w:rsidRPr="00AF4CCC">
        <w:rPr>
          <w:highlight w:val="yellow"/>
        </w:rPr>
        <w:t>NOMBRE</w:t>
      </w:r>
    </w:p>
    <w:p w14:paraId="728FAEFB" w14:textId="5651E2E3" w:rsidR="00AF4CCC" w:rsidRPr="004360A9" w:rsidRDefault="00AF4CCC" w:rsidP="004360A9">
      <w:r w:rsidRPr="00AF4CCC">
        <w:rPr>
          <w:highlight w:val="yellow"/>
        </w:rPr>
        <w:t>CC</w:t>
      </w:r>
    </w:p>
    <w:sectPr w:rsidR="00AF4CCC" w:rsidRPr="00436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805"/>
    <w:multiLevelType w:val="hybridMultilevel"/>
    <w:tmpl w:val="3CD41AAC"/>
    <w:lvl w:ilvl="0" w:tplc="8F425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655"/>
    <w:multiLevelType w:val="hybridMultilevel"/>
    <w:tmpl w:val="00D419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E75"/>
    <w:multiLevelType w:val="hybridMultilevel"/>
    <w:tmpl w:val="A15A6A1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6427C"/>
    <w:multiLevelType w:val="hybridMultilevel"/>
    <w:tmpl w:val="970C5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3B0C"/>
    <w:multiLevelType w:val="hybridMultilevel"/>
    <w:tmpl w:val="DC0EC154"/>
    <w:lvl w:ilvl="0" w:tplc="30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FC46BB"/>
    <w:multiLevelType w:val="hybridMultilevel"/>
    <w:tmpl w:val="11CCFF26"/>
    <w:lvl w:ilvl="0" w:tplc="25163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02"/>
    <w:rsid w:val="00030838"/>
    <w:rsid w:val="00054839"/>
    <w:rsid w:val="000C4E7F"/>
    <w:rsid w:val="00123E4C"/>
    <w:rsid w:val="001715D9"/>
    <w:rsid w:val="002B7033"/>
    <w:rsid w:val="00336CE0"/>
    <w:rsid w:val="004360A9"/>
    <w:rsid w:val="00465F83"/>
    <w:rsid w:val="005B7536"/>
    <w:rsid w:val="005C1DEB"/>
    <w:rsid w:val="006D78EB"/>
    <w:rsid w:val="006F64E9"/>
    <w:rsid w:val="0071766F"/>
    <w:rsid w:val="00757AD3"/>
    <w:rsid w:val="007D272C"/>
    <w:rsid w:val="008262AB"/>
    <w:rsid w:val="009D19F1"/>
    <w:rsid w:val="00AC7A02"/>
    <w:rsid w:val="00AF4CCC"/>
    <w:rsid w:val="00B57ABE"/>
    <w:rsid w:val="00C416E3"/>
    <w:rsid w:val="00C5672E"/>
    <w:rsid w:val="00CE7761"/>
    <w:rsid w:val="00E6699B"/>
    <w:rsid w:val="00ED3354"/>
    <w:rsid w:val="00EF3F8D"/>
    <w:rsid w:val="00F86B44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B943"/>
  <w15:chartTrackingRefBased/>
  <w15:docId w15:val="{D971E4A0-3724-4555-8A5E-0CF63E2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E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19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1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lud.gob.ec/ministerio-de-salud-publica-respalda-el-ajuste-al-impuesto-de-productos-no-saludab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User</cp:lastModifiedBy>
  <cp:revision>2</cp:revision>
  <dcterms:created xsi:type="dcterms:W3CDTF">2023-06-08T18:07:00Z</dcterms:created>
  <dcterms:modified xsi:type="dcterms:W3CDTF">2023-06-08T18:07:00Z</dcterms:modified>
</cp:coreProperties>
</file>