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BAB9C" w14:textId="48E8D67E" w:rsidR="00362522" w:rsidRPr="00362522" w:rsidRDefault="00362522" w:rsidP="00B416F0">
      <w:pPr>
        <w:spacing w:line="276" w:lineRule="auto"/>
        <w:jc w:val="center"/>
        <w:rPr>
          <w:rFonts w:cstheme="minorHAnsi"/>
          <w:b/>
          <w:iCs/>
          <w:lang w:val="es-ES"/>
        </w:rPr>
      </w:pPr>
      <w:r w:rsidRPr="00362522">
        <w:rPr>
          <w:rFonts w:cstheme="minorHAnsi"/>
          <w:b/>
          <w:iCs/>
          <w:lang w:val="es-ES"/>
        </w:rPr>
        <w:t>CARTA DE RESPALDO A LA ACCIÓN DE PROTECCIÓN</w:t>
      </w:r>
    </w:p>
    <w:p w14:paraId="16077CE6" w14:textId="27797E1C" w:rsidR="00AD2607" w:rsidRPr="00362522" w:rsidRDefault="00362522" w:rsidP="00B416F0">
      <w:pPr>
        <w:spacing w:line="276" w:lineRule="auto"/>
        <w:jc w:val="center"/>
        <w:rPr>
          <w:rFonts w:cstheme="minorHAnsi"/>
          <w:b/>
          <w:iCs/>
          <w:lang w:val="es-ES"/>
        </w:rPr>
      </w:pPr>
      <w:r w:rsidRPr="00362522">
        <w:rPr>
          <w:rFonts w:cstheme="minorHAnsi"/>
          <w:b/>
          <w:iCs/>
          <w:lang w:val="es-ES"/>
        </w:rPr>
        <w:t>No. 17U05-2023-00018 (SEGUNDA INSTANCIA)</w:t>
      </w:r>
    </w:p>
    <w:p w14:paraId="2AFF1A94" w14:textId="7AE7C5F2" w:rsidR="00CC4212" w:rsidRPr="00362522" w:rsidRDefault="00CC4212" w:rsidP="00B416F0">
      <w:pPr>
        <w:spacing w:line="276" w:lineRule="auto"/>
        <w:jc w:val="center"/>
        <w:rPr>
          <w:rFonts w:cstheme="minorHAnsi"/>
          <w:b/>
          <w:iCs/>
          <w:lang w:val="es-ES"/>
        </w:rPr>
      </w:pPr>
      <w:r w:rsidRPr="00362522">
        <w:rPr>
          <w:rFonts w:cstheme="minorHAnsi"/>
          <w:b/>
          <w:iCs/>
          <w:lang w:val="es-ES"/>
        </w:rPr>
        <w:t>(</w:t>
      </w:r>
      <w:r w:rsidR="00362522" w:rsidRPr="00362522">
        <w:rPr>
          <w:rFonts w:cstheme="minorHAnsi"/>
          <w:b/>
          <w:iCs/>
          <w:highlight w:val="yellow"/>
          <w:lang w:val="es-ES"/>
        </w:rPr>
        <w:t>B</w:t>
      </w:r>
      <w:r w:rsidRPr="00362522">
        <w:rPr>
          <w:rFonts w:cstheme="minorHAnsi"/>
          <w:b/>
          <w:iCs/>
          <w:highlight w:val="yellow"/>
          <w:lang w:val="es-ES"/>
        </w:rPr>
        <w:t>orrador de base, que puede ser modificado o ampliado</w:t>
      </w:r>
      <w:r w:rsidRPr="00362522">
        <w:rPr>
          <w:rFonts w:cstheme="minorHAnsi"/>
          <w:b/>
          <w:iCs/>
          <w:lang w:val="es-ES"/>
        </w:rPr>
        <w:t>)</w:t>
      </w:r>
    </w:p>
    <w:p w14:paraId="384F46D7" w14:textId="77777777" w:rsidR="00AD2607" w:rsidRPr="00362522" w:rsidRDefault="00AD2607" w:rsidP="00B416F0">
      <w:pPr>
        <w:spacing w:line="276" w:lineRule="auto"/>
        <w:jc w:val="center"/>
        <w:rPr>
          <w:rFonts w:cstheme="minorHAnsi"/>
          <w:b/>
          <w:lang w:val="es-ES"/>
        </w:rPr>
      </w:pPr>
    </w:p>
    <w:p w14:paraId="5BE27104" w14:textId="77777777" w:rsidR="00362522" w:rsidRPr="00362522" w:rsidRDefault="00362522" w:rsidP="00B416F0">
      <w:pPr>
        <w:spacing w:line="276" w:lineRule="auto"/>
        <w:jc w:val="center"/>
        <w:rPr>
          <w:rFonts w:cstheme="minorHAnsi"/>
          <w:b/>
          <w:lang w:val="es-ES"/>
        </w:rPr>
      </w:pPr>
    </w:p>
    <w:p w14:paraId="139A1D00" w14:textId="77777777" w:rsidR="00362522" w:rsidRPr="00362522" w:rsidRDefault="00362522" w:rsidP="00B416F0">
      <w:pPr>
        <w:spacing w:line="276" w:lineRule="auto"/>
        <w:jc w:val="right"/>
      </w:pPr>
      <w:r w:rsidRPr="00362522">
        <w:rPr>
          <w:highlight w:val="yellow"/>
        </w:rPr>
        <w:t>Lugar y fecha</w:t>
      </w:r>
    </w:p>
    <w:p w14:paraId="19169D38" w14:textId="77777777" w:rsidR="00362522" w:rsidRPr="00E6577B" w:rsidRDefault="00362522" w:rsidP="00E6577B">
      <w:pPr>
        <w:spacing w:line="276" w:lineRule="auto"/>
        <w:jc w:val="center"/>
        <w:rPr>
          <w:rFonts w:cstheme="minorHAnsi"/>
          <w:b/>
        </w:rPr>
      </w:pPr>
    </w:p>
    <w:p w14:paraId="545D844A" w14:textId="6321985E" w:rsidR="00A22224" w:rsidRPr="00362522" w:rsidRDefault="00B4620C" w:rsidP="00E6577B">
      <w:pPr>
        <w:spacing w:line="276" w:lineRule="auto"/>
        <w:jc w:val="center"/>
        <w:rPr>
          <w:rFonts w:cstheme="minorHAnsi"/>
          <w:b/>
          <w:lang w:val="es-ES"/>
        </w:rPr>
      </w:pPr>
      <w:r w:rsidRPr="00362522">
        <w:rPr>
          <w:rFonts w:cstheme="minorHAnsi"/>
          <w:b/>
          <w:lang w:val="es-ES"/>
        </w:rPr>
        <w:t>Señor</w:t>
      </w:r>
      <w:r w:rsidR="00CC4212" w:rsidRPr="00362522">
        <w:rPr>
          <w:rFonts w:cstheme="minorHAnsi"/>
          <w:b/>
          <w:lang w:val="es-ES"/>
        </w:rPr>
        <w:t>a</w:t>
      </w:r>
      <w:r w:rsidRPr="00362522">
        <w:rPr>
          <w:rFonts w:cstheme="minorHAnsi"/>
          <w:b/>
          <w:lang w:val="es-ES"/>
        </w:rPr>
        <w:t>s</w:t>
      </w:r>
      <w:r w:rsidR="00092563" w:rsidRPr="00362522">
        <w:rPr>
          <w:rFonts w:cstheme="minorHAnsi"/>
          <w:b/>
          <w:lang w:val="es-ES"/>
        </w:rPr>
        <w:t>, Señor</w:t>
      </w:r>
      <w:r w:rsidR="00CC4212" w:rsidRPr="00362522">
        <w:rPr>
          <w:rFonts w:cstheme="minorHAnsi"/>
          <w:b/>
          <w:lang w:val="es-ES"/>
        </w:rPr>
        <w:t>e</w:t>
      </w:r>
      <w:r w:rsidR="00092563" w:rsidRPr="00362522">
        <w:rPr>
          <w:rFonts w:cstheme="minorHAnsi"/>
          <w:b/>
          <w:lang w:val="es-ES"/>
        </w:rPr>
        <w:t>s</w:t>
      </w:r>
      <w:r w:rsidRPr="00362522">
        <w:rPr>
          <w:rFonts w:cstheme="minorHAnsi"/>
          <w:b/>
          <w:lang w:val="es-ES"/>
        </w:rPr>
        <w:t xml:space="preserve"> Jueces de la </w:t>
      </w:r>
      <w:r w:rsidR="00362522" w:rsidRPr="00362522">
        <w:rPr>
          <w:rFonts w:cstheme="minorHAnsi"/>
          <w:b/>
          <w:lang w:val="es-ES"/>
        </w:rPr>
        <w:t>SALA ESPECIALIZADA DE LA FAMILIA, NIÑEZ, ADOLESCENCIA Y ADOLESCENTES INFRACTORES DE LA CORTE PROVINCIAL DE JUSTICIA DE PICHINCHA</w:t>
      </w:r>
    </w:p>
    <w:p w14:paraId="4267CBAE" w14:textId="77777777" w:rsidR="00762412" w:rsidRPr="00362522" w:rsidRDefault="00762412" w:rsidP="00B416F0">
      <w:pPr>
        <w:spacing w:line="276" w:lineRule="auto"/>
        <w:jc w:val="center"/>
        <w:rPr>
          <w:rFonts w:cstheme="minorHAnsi"/>
          <w:lang w:val="es-ES"/>
        </w:rPr>
      </w:pPr>
    </w:p>
    <w:p w14:paraId="7B1B2B9E" w14:textId="77777777" w:rsidR="00762412" w:rsidRPr="00362522" w:rsidRDefault="00762412" w:rsidP="00B416F0">
      <w:pPr>
        <w:spacing w:line="276" w:lineRule="auto"/>
        <w:jc w:val="center"/>
        <w:rPr>
          <w:rFonts w:cstheme="minorHAnsi"/>
          <w:lang w:val="es-ES"/>
        </w:rPr>
      </w:pPr>
    </w:p>
    <w:p w14:paraId="49B96917" w14:textId="5EB5F55C" w:rsidR="00362522" w:rsidRPr="00362522" w:rsidRDefault="00362522" w:rsidP="00E6577B">
      <w:pPr>
        <w:pStyle w:val="ListParagraph"/>
        <w:spacing w:line="276" w:lineRule="auto"/>
        <w:ind w:left="1080"/>
        <w:jc w:val="center"/>
        <w:rPr>
          <w:rFonts w:cstheme="minorHAnsi"/>
          <w:b/>
          <w:lang w:val="es-ES"/>
        </w:rPr>
      </w:pPr>
      <w:r w:rsidRPr="00E6577B">
        <w:rPr>
          <w:rFonts w:cstheme="minorHAnsi"/>
          <w:b/>
          <w:lang w:val="es-ES"/>
        </w:rPr>
        <w:t>I. ANTECEDENTES</w:t>
      </w:r>
    </w:p>
    <w:p w14:paraId="4976A183" w14:textId="77777777" w:rsidR="00E6577B" w:rsidRDefault="00E6577B" w:rsidP="00E6577B">
      <w:pPr>
        <w:spacing w:line="276" w:lineRule="auto"/>
        <w:jc w:val="both"/>
        <w:rPr>
          <w:rFonts w:cstheme="minorHAnsi"/>
          <w:lang w:val="es-ES"/>
        </w:rPr>
      </w:pPr>
    </w:p>
    <w:p w14:paraId="13B5F717" w14:textId="220F3608" w:rsidR="00A22224" w:rsidRPr="00E6577B" w:rsidRDefault="00092563" w:rsidP="00E6577B">
      <w:pPr>
        <w:spacing w:line="276" w:lineRule="auto"/>
        <w:jc w:val="both"/>
        <w:rPr>
          <w:rFonts w:cstheme="minorHAnsi"/>
          <w:lang w:val="es-ES"/>
        </w:rPr>
      </w:pPr>
      <w:r w:rsidRPr="00E6577B">
        <w:rPr>
          <w:rFonts w:cstheme="minorHAnsi"/>
          <w:lang w:val="es-ES"/>
        </w:rPr>
        <w:t xml:space="preserve">Yo </w:t>
      </w:r>
      <w:r w:rsidR="00AD2607" w:rsidRPr="00E6577B">
        <w:rPr>
          <w:rFonts w:cstheme="minorHAnsi"/>
          <w:highlight w:val="yellow"/>
          <w:lang w:val="es-ES"/>
        </w:rPr>
        <w:t>XXXXXXX</w:t>
      </w:r>
      <w:r w:rsidR="00AD2607" w:rsidRPr="00E6577B">
        <w:rPr>
          <w:rFonts w:cstheme="minorHAnsi"/>
          <w:lang w:val="es-ES"/>
        </w:rPr>
        <w:t>, ecuatoriano</w:t>
      </w:r>
      <w:r w:rsidRPr="00E6577B">
        <w:rPr>
          <w:rFonts w:cstheme="minorHAnsi"/>
          <w:lang w:val="es-ES"/>
        </w:rPr>
        <w:t xml:space="preserve"> (</w:t>
      </w:r>
      <w:r w:rsidRPr="00E6577B">
        <w:rPr>
          <w:rFonts w:cstheme="minorHAnsi"/>
          <w:highlight w:val="yellow"/>
          <w:lang w:val="es-ES"/>
        </w:rPr>
        <w:t>o de otra nacionalidad</w:t>
      </w:r>
      <w:r w:rsidRPr="00E6577B">
        <w:rPr>
          <w:rFonts w:cstheme="minorHAnsi"/>
          <w:lang w:val="es-ES"/>
        </w:rPr>
        <w:t>)</w:t>
      </w:r>
      <w:r w:rsidR="00AD2607" w:rsidRPr="00E6577B">
        <w:rPr>
          <w:rFonts w:cstheme="minorHAnsi"/>
          <w:lang w:val="es-ES"/>
        </w:rPr>
        <w:t xml:space="preserve">, con cédula de ciudadanía </w:t>
      </w:r>
      <w:r w:rsidR="00AD2607" w:rsidRPr="00E6577B">
        <w:rPr>
          <w:rFonts w:cstheme="minorHAnsi"/>
          <w:highlight w:val="yellow"/>
          <w:lang w:val="es-ES"/>
        </w:rPr>
        <w:t>XXXXX</w:t>
      </w:r>
      <w:r w:rsidRPr="00E6577B">
        <w:rPr>
          <w:rFonts w:cstheme="minorHAnsi"/>
          <w:lang w:val="es-ES"/>
        </w:rPr>
        <w:t xml:space="preserve"> (</w:t>
      </w:r>
      <w:r w:rsidRPr="00E6577B">
        <w:rPr>
          <w:rFonts w:cstheme="minorHAnsi"/>
          <w:highlight w:val="yellow"/>
          <w:lang w:val="es-ES"/>
        </w:rPr>
        <w:t>o pasaporte u otro documento de identificación</w:t>
      </w:r>
      <w:r w:rsidRPr="00E6577B">
        <w:rPr>
          <w:rFonts w:cstheme="minorHAnsi"/>
          <w:lang w:val="es-ES"/>
        </w:rPr>
        <w:t>)</w:t>
      </w:r>
      <w:r w:rsidR="00AD2607" w:rsidRPr="00E6577B">
        <w:rPr>
          <w:rFonts w:cstheme="minorHAnsi"/>
          <w:lang w:val="es-ES"/>
        </w:rPr>
        <w:t xml:space="preserve">, mayor de edad, de ocupación </w:t>
      </w:r>
      <w:r w:rsidR="00AD2607" w:rsidRPr="00E6577B">
        <w:rPr>
          <w:rFonts w:cstheme="minorHAnsi"/>
          <w:highlight w:val="yellow"/>
          <w:lang w:val="es-ES"/>
        </w:rPr>
        <w:t>XXXXXX</w:t>
      </w:r>
      <w:r w:rsidR="00AD2607" w:rsidRPr="00E6577B">
        <w:rPr>
          <w:rFonts w:cstheme="minorHAnsi"/>
          <w:lang w:val="es-ES"/>
        </w:rPr>
        <w:t xml:space="preserve">, domiciliado en </w:t>
      </w:r>
      <w:r w:rsidR="00AD2607" w:rsidRPr="00E6577B">
        <w:rPr>
          <w:rFonts w:cstheme="minorHAnsi"/>
          <w:highlight w:val="yellow"/>
          <w:lang w:val="es-ES"/>
        </w:rPr>
        <w:t>XXXXXX</w:t>
      </w:r>
      <w:r w:rsidR="00AD2607" w:rsidRPr="00E6577B">
        <w:rPr>
          <w:rFonts w:cstheme="minorHAnsi"/>
          <w:lang w:val="es-ES"/>
        </w:rPr>
        <w:t>, por mis propios derechos y por los que represent</w:t>
      </w:r>
      <w:r w:rsidR="00F00B73" w:rsidRPr="00E6577B">
        <w:rPr>
          <w:rFonts w:cstheme="minorHAnsi"/>
          <w:lang w:val="es-ES"/>
        </w:rPr>
        <w:t>ó</w:t>
      </w:r>
      <w:r w:rsidR="00AD2607" w:rsidRPr="00E6577B">
        <w:rPr>
          <w:rFonts w:cstheme="minorHAnsi"/>
          <w:lang w:val="es-ES"/>
        </w:rPr>
        <w:t xml:space="preserve"> como </w:t>
      </w:r>
      <w:r w:rsidR="00AD2607" w:rsidRPr="00E6577B">
        <w:rPr>
          <w:rFonts w:cstheme="minorHAnsi"/>
          <w:highlight w:val="yellow"/>
          <w:lang w:val="es-ES"/>
        </w:rPr>
        <w:t>XXXX</w:t>
      </w:r>
      <w:r w:rsidR="00AD2607" w:rsidRPr="00E6577B">
        <w:rPr>
          <w:rFonts w:cstheme="minorHAnsi"/>
          <w:lang w:val="es-ES"/>
        </w:rPr>
        <w:t xml:space="preserve"> del Colectivo </w:t>
      </w:r>
      <w:r w:rsidRPr="00E6577B">
        <w:rPr>
          <w:rFonts w:cstheme="minorHAnsi"/>
          <w:lang w:val="es-ES"/>
        </w:rPr>
        <w:t>(</w:t>
      </w:r>
      <w:r w:rsidRPr="00E6577B">
        <w:rPr>
          <w:rFonts w:cstheme="minorHAnsi"/>
          <w:highlight w:val="yellow"/>
          <w:lang w:val="es-ES"/>
        </w:rPr>
        <w:t>u organización, nombr</w:t>
      </w:r>
      <w:r w:rsidR="00F00B73" w:rsidRPr="00E6577B">
        <w:rPr>
          <w:rFonts w:cstheme="minorHAnsi"/>
          <w:highlight w:val="yellow"/>
          <w:lang w:val="es-ES"/>
        </w:rPr>
        <w:t>e</w:t>
      </w:r>
      <w:r w:rsidRPr="00E6577B">
        <w:rPr>
          <w:rFonts w:cstheme="minorHAnsi"/>
          <w:lang w:val="es-ES"/>
        </w:rPr>
        <w:t xml:space="preserve">) </w:t>
      </w:r>
      <w:r w:rsidR="00AD2607" w:rsidRPr="00E6577B">
        <w:rPr>
          <w:rFonts w:cstheme="minorHAnsi"/>
          <w:highlight w:val="yellow"/>
          <w:lang w:val="es-ES"/>
        </w:rPr>
        <w:t>XXXX</w:t>
      </w:r>
      <w:r w:rsidR="00AD2607" w:rsidRPr="00E6577B">
        <w:rPr>
          <w:rFonts w:cstheme="minorHAnsi"/>
          <w:lang w:val="es-ES"/>
        </w:rPr>
        <w:t>, de conformidad</w:t>
      </w:r>
      <w:r w:rsidR="00A22224" w:rsidRPr="00E6577B">
        <w:rPr>
          <w:rFonts w:cstheme="minorHAnsi"/>
          <w:lang w:val="es-ES"/>
        </w:rPr>
        <w:t xml:space="preserve"> al artículo 12 de la Ley de Garantías Jurisdiccionales y Cont</w:t>
      </w:r>
      <w:r w:rsidR="00AD2607" w:rsidRPr="00E6577B">
        <w:rPr>
          <w:rFonts w:cstheme="minorHAnsi"/>
          <w:lang w:val="es-ES"/>
        </w:rPr>
        <w:t xml:space="preserve">rol Constitucional, comparezco ante </w:t>
      </w:r>
      <w:r w:rsidRPr="00E6577B">
        <w:rPr>
          <w:rFonts w:cstheme="minorHAnsi"/>
          <w:lang w:val="es-ES"/>
        </w:rPr>
        <w:t>us</w:t>
      </w:r>
      <w:r w:rsidR="00AD2607" w:rsidRPr="00E6577B">
        <w:rPr>
          <w:rFonts w:cstheme="minorHAnsi"/>
          <w:lang w:val="es-ES"/>
        </w:rPr>
        <w:t>ted</w:t>
      </w:r>
      <w:r w:rsidRPr="00E6577B">
        <w:rPr>
          <w:rFonts w:cstheme="minorHAnsi"/>
          <w:lang w:val="es-ES"/>
        </w:rPr>
        <w:t>es</w:t>
      </w:r>
      <w:r w:rsidR="00A22224" w:rsidRPr="00E6577B">
        <w:rPr>
          <w:rFonts w:cstheme="minorHAnsi"/>
          <w:lang w:val="es-ES"/>
        </w:rPr>
        <w:t xml:space="preserve"> </w:t>
      </w:r>
      <w:r w:rsidRPr="00E6577B">
        <w:rPr>
          <w:rFonts w:cstheme="minorHAnsi"/>
          <w:lang w:val="es-ES"/>
        </w:rPr>
        <w:t>para expresar mi respaldo a</w:t>
      </w:r>
      <w:r w:rsidR="00F00B73" w:rsidRPr="00E6577B">
        <w:rPr>
          <w:rFonts w:cstheme="minorHAnsi"/>
          <w:lang w:val="es-ES"/>
        </w:rPr>
        <w:t xml:space="preserve"> </w:t>
      </w:r>
      <w:r w:rsidRPr="00E6577B">
        <w:rPr>
          <w:rFonts w:cstheme="minorHAnsi"/>
          <w:lang w:val="es-ES"/>
        </w:rPr>
        <w:t>l</w:t>
      </w:r>
      <w:r w:rsidR="00F00B73" w:rsidRPr="00E6577B">
        <w:rPr>
          <w:rFonts w:cstheme="minorHAnsi"/>
          <w:lang w:val="es-ES"/>
        </w:rPr>
        <w:t>a</w:t>
      </w:r>
      <w:r w:rsidR="00A22224" w:rsidRPr="00E6577B">
        <w:rPr>
          <w:rFonts w:cstheme="minorHAnsi"/>
          <w:lang w:val="es-ES"/>
        </w:rPr>
        <w:t xml:space="preserve"> Acción de Protección No. </w:t>
      </w:r>
      <w:r w:rsidR="00AD2607" w:rsidRPr="00E6577B">
        <w:rPr>
          <w:rFonts w:cstheme="minorHAnsi"/>
          <w:lang w:val="es-ES"/>
        </w:rPr>
        <w:t>17U05-2023-00018</w:t>
      </w:r>
      <w:r w:rsidRPr="00E6577B">
        <w:rPr>
          <w:rFonts w:cstheme="minorHAnsi"/>
          <w:lang w:val="es-ES"/>
        </w:rPr>
        <w:t xml:space="preserve">, </w:t>
      </w:r>
      <w:r w:rsidR="00762412" w:rsidRPr="00362522">
        <w:t>presentada</w:t>
      </w:r>
      <w:r w:rsidR="00762412" w:rsidRPr="00E6577B">
        <w:rPr>
          <w:rFonts w:cstheme="minorHAnsi"/>
          <w:lang w:val="es-ES"/>
        </w:rPr>
        <w:t xml:space="preserve"> por Hugo Gerardo Noboa Cruz, Hugo Miguel Malo Serrano, Daniel Felipe Dorado Torres, Olga Virginia Rosalía Gómez de la Torre Bermúdez</w:t>
      </w:r>
      <w:r w:rsidR="00E6577B">
        <w:rPr>
          <w:rFonts w:cstheme="minorHAnsi"/>
          <w:lang w:val="es-ES"/>
        </w:rPr>
        <w:t xml:space="preserve"> y otros</w:t>
      </w:r>
      <w:r w:rsidR="00762412" w:rsidRPr="00E6577B">
        <w:rPr>
          <w:rFonts w:cstheme="minorHAnsi"/>
          <w:lang w:val="es-ES"/>
        </w:rPr>
        <w:t xml:space="preserve">, </w:t>
      </w:r>
      <w:r w:rsidRPr="00E6577B">
        <w:rPr>
          <w:rFonts w:cstheme="minorHAnsi"/>
          <w:lang w:val="es-ES"/>
        </w:rPr>
        <w:t>en contra del decreto ejecutivo 645 del 10 de enero de 2023, que redujo impuestos a consumos especiales</w:t>
      </w:r>
      <w:r w:rsidR="00902010" w:rsidRPr="00E6577B">
        <w:rPr>
          <w:rFonts w:cstheme="minorHAnsi"/>
          <w:lang w:val="es-ES"/>
        </w:rPr>
        <w:t xml:space="preserve"> (ICE)</w:t>
      </w:r>
      <w:r w:rsidRPr="00E6577B">
        <w:rPr>
          <w:rFonts w:cstheme="minorHAnsi"/>
          <w:lang w:val="es-ES"/>
        </w:rPr>
        <w:t xml:space="preserve"> </w:t>
      </w:r>
      <w:r w:rsidR="00CC4212" w:rsidRPr="00E6577B">
        <w:rPr>
          <w:rFonts w:cstheme="minorHAnsi"/>
          <w:lang w:val="es-ES"/>
        </w:rPr>
        <w:t>de</w:t>
      </w:r>
      <w:r w:rsidRPr="00E6577B">
        <w:rPr>
          <w:rFonts w:cstheme="minorHAnsi"/>
          <w:lang w:val="es-ES"/>
        </w:rPr>
        <w:t xml:space="preserve"> productos de tabaco, bebidas alcohólicas, bebidas industriales azucaradas, fundas plásticas y armas de fuego.</w:t>
      </w:r>
    </w:p>
    <w:p w14:paraId="46D4ECAB" w14:textId="77777777" w:rsidR="00A22224" w:rsidRPr="00362522" w:rsidRDefault="00A22224" w:rsidP="00B416F0">
      <w:pPr>
        <w:spacing w:line="276" w:lineRule="auto"/>
        <w:ind w:firstLine="708"/>
        <w:jc w:val="both"/>
        <w:rPr>
          <w:rFonts w:cstheme="minorHAnsi"/>
          <w:lang w:val="es-ES"/>
        </w:rPr>
      </w:pPr>
    </w:p>
    <w:p w14:paraId="451702FF" w14:textId="253C1009" w:rsidR="00F00B73" w:rsidRPr="00E6577B" w:rsidRDefault="00362522" w:rsidP="00E6577B">
      <w:pPr>
        <w:pStyle w:val="ListParagraph"/>
        <w:spacing w:line="276" w:lineRule="auto"/>
        <w:ind w:left="0"/>
        <w:jc w:val="center"/>
        <w:rPr>
          <w:rFonts w:cstheme="minorHAnsi"/>
          <w:b/>
          <w:lang w:val="es-ES"/>
        </w:rPr>
      </w:pPr>
      <w:r w:rsidRPr="00362522">
        <w:rPr>
          <w:rFonts w:cstheme="minorHAnsi"/>
          <w:b/>
          <w:lang w:val="es-ES"/>
        </w:rPr>
        <w:t>II. ARGUMENTOS POR LOS QUE EXPRESO EL RESPALDO A LA DEMANDA</w:t>
      </w:r>
    </w:p>
    <w:p w14:paraId="1EDABC9E" w14:textId="77777777" w:rsidR="00F00B73" w:rsidRPr="00362522" w:rsidRDefault="00F00B73" w:rsidP="00B416F0">
      <w:pPr>
        <w:pStyle w:val="ListParagraph"/>
        <w:spacing w:line="276" w:lineRule="auto"/>
        <w:jc w:val="both"/>
        <w:rPr>
          <w:rFonts w:cstheme="minorHAnsi"/>
          <w:lang w:val="es-ES"/>
        </w:rPr>
      </w:pPr>
    </w:p>
    <w:p w14:paraId="3E00CBBD" w14:textId="0C3FF33A" w:rsidR="00762412" w:rsidRPr="00E6577B" w:rsidRDefault="00092563" w:rsidP="00E6577B">
      <w:pPr>
        <w:spacing w:line="276" w:lineRule="auto"/>
        <w:jc w:val="both"/>
        <w:rPr>
          <w:rFonts w:cstheme="minorHAnsi"/>
          <w:lang w:val="es-ES"/>
        </w:rPr>
      </w:pPr>
      <w:r w:rsidRPr="00E6577B">
        <w:rPr>
          <w:rFonts w:cstheme="minorHAnsi"/>
          <w:lang w:val="es-ES"/>
        </w:rPr>
        <w:t>En la audiencia de primera instancia</w:t>
      </w:r>
      <w:r w:rsidR="00E6577B">
        <w:rPr>
          <w:rFonts w:cstheme="minorHAnsi"/>
          <w:lang w:val="es-ES"/>
        </w:rPr>
        <w:t xml:space="preserve"> con</w:t>
      </w:r>
      <w:r w:rsidRPr="00E6577B">
        <w:rPr>
          <w:rFonts w:cstheme="minorHAnsi"/>
          <w:lang w:val="es-ES"/>
        </w:rPr>
        <w:t xml:space="preserve"> Renán Eduardo Andrade Castillo, JUEZ DE LA UNIDAD JUDICIAL DE GARANTÍAS PENALES ESPECIALIZADA PARA EL JUZGAMIENTO DE DELITOS RELACIONADOS CON CORRUPCIÓN Y CRIMEN ORGANIZADO, varias organizaciones nacionales e internacionales, personas de la academia y comprometidas con la defensa </w:t>
      </w:r>
      <w:r w:rsidR="00CC4212" w:rsidRPr="00E6577B">
        <w:rPr>
          <w:rFonts w:cstheme="minorHAnsi"/>
          <w:lang w:val="es-ES"/>
        </w:rPr>
        <w:t>de</w:t>
      </w:r>
      <w:r w:rsidRPr="00E6577B">
        <w:rPr>
          <w:rFonts w:cstheme="minorHAnsi"/>
          <w:lang w:val="es-ES"/>
        </w:rPr>
        <w:t xml:space="preserve">l derecho a la salud, </w:t>
      </w:r>
      <w:r w:rsidR="00792A85" w:rsidRPr="00E6577B">
        <w:rPr>
          <w:rFonts w:cstheme="minorHAnsi"/>
          <w:lang w:val="es-ES"/>
        </w:rPr>
        <w:t>presenta</w:t>
      </w:r>
      <w:r w:rsidR="00E6577B">
        <w:rPr>
          <w:rFonts w:cstheme="minorHAnsi"/>
          <w:lang w:val="es-ES"/>
        </w:rPr>
        <w:t>ron</w:t>
      </w:r>
      <w:r w:rsidR="00792A85" w:rsidRPr="00E6577B">
        <w:rPr>
          <w:rFonts w:cstheme="minorHAnsi"/>
          <w:lang w:val="es-ES"/>
        </w:rPr>
        <w:t xml:space="preserve"> </w:t>
      </w:r>
      <w:r w:rsidR="00E6577B">
        <w:rPr>
          <w:rFonts w:cstheme="minorHAnsi"/>
          <w:lang w:val="es-ES"/>
        </w:rPr>
        <w:t>su</w:t>
      </w:r>
      <w:r w:rsidR="00792A85" w:rsidRPr="00E6577B">
        <w:rPr>
          <w:rFonts w:cstheme="minorHAnsi"/>
          <w:lang w:val="es-ES"/>
        </w:rPr>
        <w:t xml:space="preserve"> apoyo</w:t>
      </w:r>
      <w:r w:rsidR="00DC053C" w:rsidRPr="00E6577B">
        <w:rPr>
          <w:rFonts w:cstheme="minorHAnsi"/>
          <w:lang w:val="es-ES"/>
        </w:rPr>
        <w:t xml:space="preserve"> a la acción de protección contra el decreto 645</w:t>
      </w:r>
      <w:r w:rsidR="00792A85" w:rsidRPr="00E6577B">
        <w:rPr>
          <w:rFonts w:cstheme="minorHAnsi"/>
          <w:lang w:val="es-ES"/>
        </w:rPr>
        <w:t xml:space="preserve"> a través de cartas y diversos </w:t>
      </w:r>
      <w:r w:rsidR="00792A85" w:rsidRPr="00E6577B">
        <w:rPr>
          <w:rFonts w:cstheme="minorHAnsi"/>
          <w:i/>
          <w:lang w:val="es-ES"/>
        </w:rPr>
        <w:t>Amicus</w:t>
      </w:r>
      <w:r w:rsidRPr="00E6577B">
        <w:rPr>
          <w:rFonts w:cstheme="minorHAnsi"/>
          <w:i/>
          <w:lang w:val="es-ES"/>
        </w:rPr>
        <w:t xml:space="preserve"> </w:t>
      </w:r>
      <w:r w:rsidR="00792A85" w:rsidRPr="00E6577B">
        <w:rPr>
          <w:rFonts w:cstheme="minorHAnsi"/>
          <w:i/>
          <w:lang w:val="es-ES"/>
        </w:rPr>
        <w:t>Curiae</w:t>
      </w:r>
      <w:r w:rsidR="00792A85" w:rsidRPr="00E6577B">
        <w:rPr>
          <w:rFonts w:cstheme="minorHAnsi"/>
          <w:lang w:val="es-ES"/>
        </w:rPr>
        <w:t xml:space="preserve">, a fin de que el juez </w:t>
      </w:r>
      <w:r w:rsidR="00762412" w:rsidRPr="00E6577B">
        <w:rPr>
          <w:rFonts w:cstheme="minorHAnsi"/>
          <w:lang w:val="es-ES"/>
        </w:rPr>
        <w:t>contara con elementos adicionales</w:t>
      </w:r>
      <w:r w:rsidR="00362522" w:rsidRPr="00B416F0">
        <w:rPr>
          <w:rFonts w:cstheme="minorHAnsi"/>
          <w:lang w:val="es-ES"/>
        </w:rPr>
        <w:t xml:space="preserve"> (en línea con la mejor evidencia científica disponible sobre los impuestos saludables y su relación con los derechos constitucionales nacional e internacional</w:t>
      </w:r>
      <w:r w:rsidR="00D64760" w:rsidRPr="00B416F0">
        <w:rPr>
          <w:rFonts w:cstheme="minorHAnsi"/>
          <w:lang w:val="es-ES"/>
        </w:rPr>
        <w:t>, principalmente los de los niños, niñas y adolescentes</w:t>
      </w:r>
      <w:r w:rsidR="00362522" w:rsidRPr="00B416F0">
        <w:rPr>
          <w:rFonts w:cstheme="minorHAnsi"/>
          <w:lang w:val="es-ES"/>
        </w:rPr>
        <w:t>)</w:t>
      </w:r>
      <w:r w:rsidR="00792A85" w:rsidRPr="00E6577B">
        <w:rPr>
          <w:rFonts w:cstheme="minorHAnsi"/>
          <w:lang w:val="es-ES"/>
        </w:rPr>
        <w:t xml:space="preserve"> para </w:t>
      </w:r>
      <w:r w:rsidR="00A22224" w:rsidRPr="00E6577B">
        <w:rPr>
          <w:rFonts w:cstheme="minorHAnsi"/>
          <w:lang w:val="es-ES"/>
        </w:rPr>
        <w:t>una mejor resolución en apego estricto a la Constitución de la República, las leyes vigentes y los Instrumentos Internacionales de Derechos Humanos.</w:t>
      </w:r>
    </w:p>
    <w:p w14:paraId="509C8DD7" w14:textId="77777777" w:rsidR="00762412" w:rsidRPr="00362522" w:rsidRDefault="00762412" w:rsidP="00B416F0">
      <w:pPr>
        <w:pStyle w:val="ListParagraph"/>
        <w:spacing w:line="276" w:lineRule="auto"/>
        <w:jc w:val="both"/>
        <w:rPr>
          <w:rFonts w:cstheme="minorHAnsi"/>
          <w:lang w:val="es-ES"/>
        </w:rPr>
      </w:pPr>
    </w:p>
    <w:p w14:paraId="1456AFD7" w14:textId="0C62B644" w:rsidR="00090C55" w:rsidRDefault="00792A85" w:rsidP="00B416F0">
      <w:pPr>
        <w:spacing w:line="276" w:lineRule="auto"/>
        <w:jc w:val="both"/>
        <w:rPr>
          <w:lang w:val="es-ES"/>
        </w:rPr>
      </w:pPr>
      <w:r w:rsidRPr="00B416F0">
        <w:rPr>
          <w:rFonts w:cstheme="minorHAnsi"/>
          <w:lang w:val="es-ES"/>
        </w:rPr>
        <w:lastRenderedPageBreak/>
        <w:t>Sin embargo de ello, el juez Andrade hizo caso omiso a los argumentos presentados</w:t>
      </w:r>
      <w:r w:rsidR="00762412" w:rsidRPr="00B416F0">
        <w:rPr>
          <w:rFonts w:cstheme="minorHAnsi"/>
          <w:lang w:val="es-ES"/>
        </w:rPr>
        <w:t xml:space="preserve"> que </w:t>
      </w:r>
      <w:r w:rsidR="00E6577B">
        <w:rPr>
          <w:rFonts w:cstheme="minorHAnsi"/>
          <w:lang w:val="es-ES"/>
        </w:rPr>
        <w:t>evidenciaban</w:t>
      </w:r>
      <w:r w:rsidR="00762412" w:rsidRPr="00B416F0">
        <w:rPr>
          <w:rFonts w:cstheme="minorHAnsi"/>
          <w:lang w:val="es-ES"/>
        </w:rPr>
        <w:t xml:space="preserve"> las vulneraciones a derechos constitucionales señalados por los accionantes</w:t>
      </w:r>
      <w:r w:rsidRPr="00B416F0">
        <w:rPr>
          <w:rFonts w:cstheme="minorHAnsi"/>
          <w:lang w:val="es-ES"/>
        </w:rPr>
        <w:t>, incluido el informe</w:t>
      </w:r>
      <w:r w:rsidR="00A22224" w:rsidRPr="00B416F0">
        <w:rPr>
          <w:rFonts w:cstheme="minorHAnsi"/>
          <w:lang w:val="es-ES"/>
        </w:rPr>
        <w:t xml:space="preserve"> </w:t>
      </w:r>
      <w:r w:rsidRPr="00B416F0">
        <w:rPr>
          <w:rFonts w:cstheme="minorHAnsi"/>
          <w:lang w:val="es-ES"/>
        </w:rPr>
        <w:t xml:space="preserve">técnico del Ministerio de Salud Pública, “CRITERIO TÉCNICO SOBRE IMPUESTOS SALUDABLES” del 24 de junio de 2023, que fue avalado </w:t>
      </w:r>
      <w:r w:rsidR="00CC4212" w:rsidRPr="00B416F0">
        <w:rPr>
          <w:rFonts w:cstheme="minorHAnsi"/>
          <w:lang w:val="es-ES"/>
        </w:rPr>
        <w:t>con</w:t>
      </w:r>
      <w:r w:rsidRPr="00B416F0">
        <w:rPr>
          <w:rFonts w:cstheme="minorHAnsi"/>
          <w:lang w:val="es-ES"/>
        </w:rPr>
        <w:t xml:space="preserve"> Oficio Nro. MSP-MSP-2023-2535-O del 06 de julio de 2023 del Ministro de Salud Pública, José Ruales, dirigido al Señor Juan Pablo Ortiz Mena, Secretario General Jurídico de la Presidencia de la República; documentos que fueron consignados como parte de las pruebas ante el juez Andrade.</w:t>
      </w:r>
    </w:p>
    <w:p w14:paraId="4787D6CF" w14:textId="77777777" w:rsidR="00E6577B" w:rsidRDefault="00E6577B" w:rsidP="00B416F0">
      <w:pPr>
        <w:spacing w:line="276" w:lineRule="auto"/>
        <w:jc w:val="both"/>
        <w:rPr>
          <w:lang w:val="es-ES"/>
        </w:rPr>
      </w:pPr>
    </w:p>
    <w:p w14:paraId="7F57D375" w14:textId="3C98A893" w:rsidR="00902010" w:rsidRDefault="00792A85" w:rsidP="00B416F0">
      <w:pPr>
        <w:spacing w:line="276" w:lineRule="auto"/>
        <w:jc w:val="both"/>
        <w:rPr>
          <w:lang w:val="es-ES"/>
        </w:rPr>
      </w:pPr>
      <w:r w:rsidRPr="00362522">
        <w:rPr>
          <w:lang w:val="es-ES"/>
        </w:rPr>
        <w:t>En esta ocasión quier</w:t>
      </w:r>
      <w:r w:rsidR="00902010" w:rsidRPr="00362522">
        <w:rPr>
          <w:lang w:val="es-ES"/>
        </w:rPr>
        <w:t>o</w:t>
      </w:r>
      <w:r w:rsidRPr="00362522">
        <w:rPr>
          <w:lang w:val="es-ES"/>
        </w:rPr>
        <w:t xml:space="preserve"> insistir en que el decreto 645, </w:t>
      </w:r>
      <w:r w:rsidR="00D64760">
        <w:rPr>
          <w:lang w:val="es-ES"/>
        </w:rPr>
        <w:t xml:space="preserve">que no solo constituye una política pública, sino </w:t>
      </w:r>
      <w:r w:rsidRPr="00362522">
        <w:rPr>
          <w:lang w:val="es-ES"/>
        </w:rPr>
        <w:t>que vulnera derechos a la vida, la salud, el ambiente y la seguridad ciudadana,</w:t>
      </w:r>
      <w:r w:rsidRPr="00D64760">
        <w:rPr>
          <w:b/>
          <w:u w:val="single"/>
          <w:lang w:val="es-ES"/>
        </w:rPr>
        <w:t xml:space="preserve"> es particularmente nocivo para niños, niñas y adolescentes</w:t>
      </w:r>
      <w:r w:rsidR="00362522" w:rsidRPr="00362522">
        <w:rPr>
          <w:lang w:val="es-ES"/>
        </w:rPr>
        <w:t>,</w:t>
      </w:r>
      <w:r w:rsidR="00CC4212" w:rsidRPr="00362522">
        <w:rPr>
          <w:lang w:val="es-ES"/>
        </w:rPr>
        <w:t xml:space="preserve"> </w:t>
      </w:r>
      <w:r w:rsidR="00902010" w:rsidRPr="00362522">
        <w:rPr>
          <w:lang w:val="es-ES"/>
        </w:rPr>
        <w:t>pues</w:t>
      </w:r>
      <w:r w:rsidR="00CC4212" w:rsidRPr="00362522">
        <w:rPr>
          <w:lang w:val="es-ES"/>
        </w:rPr>
        <w:t xml:space="preserve"> al disminuir impuestos</w:t>
      </w:r>
      <w:r w:rsidR="00902010" w:rsidRPr="00362522">
        <w:rPr>
          <w:lang w:val="es-ES"/>
        </w:rPr>
        <w:t xml:space="preserve"> a estos productos (calificados como males antes que bienes</w:t>
      </w:r>
      <w:r w:rsidR="00DC053C" w:rsidRPr="00362522">
        <w:rPr>
          <w:lang w:val="es-ES"/>
        </w:rPr>
        <w:t>,</w:t>
      </w:r>
      <w:r w:rsidR="00902010" w:rsidRPr="00362522">
        <w:rPr>
          <w:lang w:val="es-ES"/>
        </w:rPr>
        <w:t xml:space="preserve"> por los economistas)</w:t>
      </w:r>
      <w:r w:rsidR="00CC4212" w:rsidRPr="00362522">
        <w:rPr>
          <w:lang w:val="es-ES"/>
        </w:rPr>
        <w:t xml:space="preserve">, fundamentalmente </w:t>
      </w:r>
      <w:r w:rsidR="00DC053C" w:rsidRPr="00362522">
        <w:rPr>
          <w:lang w:val="es-ES"/>
        </w:rPr>
        <w:t>par</w:t>
      </w:r>
      <w:r w:rsidR="00902010" w:rsidRPr="00362522">
        <w:rPr>
          <w:lang w:val="es-ES"/>
        </w:rPr>
        <w:t>a</w:t>
      </w:r>
      <w:r w:rsidR="00CC4212" w:rsidRPr="00362522">
        <w:rPr>
          <w:lang w:val="es-ES"/>
        </w:rPr>
        <w:t xml:space="preserve"> productos de tabaco, alcohol y bebidas azucaradas</w:t>
      </w:r>
      <w:r w:rsidR="00E6577B">
        <w:rPr>
          <w:lang w:val="es-ES"/>
        </w:rPr>
        <w:t>;</w:t>
      </w:r>
      <w:r w:rsidR="00CC4212" w:rsidRPr="00362522">
        <w:rPr>
          <w:lang w:val="es-ES"/>
        </w:rPr>
        <w:t xml:space="preserve"> </w:t>
      </w:r>
      <w:r w:rsidR="00902010" w:rsidRPr="00362522">
        <w:rPr>
          <w:lang w:val="es-ES"/>
        </w:rPr>
        <w:t xml:space="preserve">niños, niñas y adolescentes </w:t>
      </w:r>
      <w:r w:rsidR="00CC4212" w:rsidRPr="00362522">
        <w:rPr>
          <w:lang w:val="es-ES"/>
        </w:rPr>
        <w:t xml:space="preserve">tienen más accesos a ellos, con el consiguiente impacto en su salud física y mental </w:t>
      </w:r>
      <w:r w:rsidR="00902010" w:rsidRPr="00362522">
        <w:rPr>
          <w:lang w:val="es-ES"/>
        </w:rPr>
        <w:t xml:space="preserve">a mediano y largo plazo </w:t>
      </w:r>
      <w:r w:rsidR="00CC4212" w:rsidRPr="00362522">
        <w:rPr>
          <w:lang w:val="es-ES"/>
        </w:rPr>
        <w:t xml:space="preserve">(sobrepeso, obesidad, adicciones, aumento de enfermedades no transmisibles como diabetes, cardiovasculares, </w:t>
      </w:r>
      <w:r w:rsidR="00DC053C" w:rsidRPr="00362522">
        <w:rPr>
          <w:lang w:val="es-ES"/>
        </w:rPr>
        <w:t xml:space="preserve">respiratorias crónicas y </w:t>
      </w:r>
      <w:r w:rsidR="00CC4212" w:rsidRPr="00362522">
        <w:rPr>
          <w:lang w:val="es-ES"/>
        </w:rPr>
        <w:t>algunos tipos de tumores malignos), a más de la violencia en general y la violencia intrafamiliar en particular</w:t>
      </w:r>
      <w:r w:rsidR="00DC053C" w:rsidRPr="00362522">
        <w:rPr>
          <w:lang w:val="es-ES"/>
        </w:rPr>
        <w:t>,</w:t>
      </w:r>
      <w:r w:rsidR="00CC4212" w:rsidRPr="00362522">
        <w:rPr>
          <w:lang w:val="es-ES"/>
        </w:rPr>
        <w:t xml:space="preserve"> asociada</w:t>
      </w:r>
      <w:r w:rsidR="00DC053C" w:rsidRPr="00362522">
        <w:rPr>
          <w:lang w:val="es-ES"/>
        </w:rPr>
        <w:t>s</w:t>
      </w:r>
      <w:r w:rsidR="00CC4212" w:rsidRPr="00362522">
        <w:rPr>
          <w:lang w:val="es-ES"/>
        </w:rPr>
        <w:t xml:space="preserve"> a una más fácil disponibilidad de armas de fuego.</w:t>
      </w:r>
    </w:p>
    <w:p w14:paraId="1A55B374" w14:textId="77777777" w:rsidR="00E6577B" w:rsidRDefault="00E6577B" w:rsidP="00B416F0">
      <w:pPr>
        <w:spacing w:line="276" w:lineRule="auto"/>
        <w:jc w:val="both"/>
        <w:rPr>
          <w:lang w:val="es-ES"/>
        </w:rPr>
      </w:pPr>
    </w:p>
    <w:p w14:paraId="551CC9B1" w14:textId="667E8999" w:rsidR="00B416F0" w:rsidRDefault="00902010" w:rsidP="00B416F0">
      <w:pPr>
        <w:spacing w:line="276" w:lineRule="auto"/>
        <w:jc w:val="both"/>
        <w:rPr>
          <w:lang w:val="es-ES"/>
        </w:rPr>
      </w:pPr>
      <w:r w:rsidRPr="00362522">
        <w:rPr>
          <w:lang w:val="es-ES"/>
        </w:rPr>
        <w:t>Es necesario destacar que dentro del decreto 645 se disminuye de manera sustancial el ICE a productos electrónicos de tabaco</w:t>
      </w:r>
      <w:r w:rsidR="007D1152" w:rsidRPr="00362522">
        <w:rPr>
          <w:lang w:val="es-ES"/>
        </w:rPr>
        <w:t xml:space="preserve"> (150% a 50%). L</w:t>
      </w:r>
      <w:r w:rsidRPr="00362522">
        <w:rPr>
          <w:lang w:val="es-ES"/>
        </w:rPr>
        <w:t>a última encuesta de consumo de tabaco en adolescentes ecuatorianos del Ministerio de Salud Pública</w:t>
      </w:r>
      <w:r w:rsidR="00E6577B">
        <w:rPr>
          <w:lang w:val="es-ES"/>
        </w:rPr>
        <w:t xml:space="preserve"> y</w:t>
      </w:r>
      <w:r w:rsidRPr="00362522">
        <w:rPr>
          <w:lang w:val="es-ES"/>
        </w:rPr>
        <w:t xml:space="preserve"> el Ministerio de Educación, con apoyo de la Organización Panamericana de la Salud y el Centro de Control de Enfermedades (CDC) de Atlanta (informe 2019, consignad</w:t>
      </w:r>
      <w:r w:rsidR="007D1152" w:rsidRPr="00362522">
        <w:rPr>
          <w:lang w:val="es-ES"/>
        </w:rPr>
        <w:t>o</w:t>
      </w:r>
      <w:r w:rsidRPr="00362522">
        <w:rPr>
          <w:lang w:val="es-ES"/>
        </w:rPr>
        <w:t xml:space="preserve"> como prueba ante el juez Andrade) revela que los adolescentes ecuatorianos (13-15</w:t>
      </w:r>
      <w:r w:rsidR="00E6577B">
        <w:rPr>
          <w:lang w:val="es-ES"/>
        </w:rPr>
        <w:t xml:space="preserve"> </w:t>
      </w:r>
      <w:r w:rsidRPr="00362522">
        <w:rPr>
          <w:lang w:val="es-ES"/>
        </w:rPr>
        <w:t>años) están consumiendo más cigarrillo electrónico que cigarrillos convencionales, muchos de ellos se inician con esos productos electrónicos</w:t>
      </w:r>
      <w:r w:rsidR="007D1152" w:rsidRPr="00362522">
        <w:rPr>
          <w:lang w:val="es-ES"/>
        </w:rPr>
        <w:t xml:space="preserve">. </w:t>
      </w:r>
    </w:p>
    <w:p w14:paraId="5DC10F2D" w14:textId="77777777" w:rsidR="00B416F0" w:rsidRDefault="00B416F0" w:rsidP="00B416F0">
      <w:pPr>
        <w:spacing w:line="276" w:lineRule="auto"/>
        <w:jc w:val="both"/>
        <w:rPr>
          <w:lang w:val="es-ES"/>
        </w:rPr>
      </w:pPr>
    </w:p>
    <w:p w14:paraId="21C94DA8" w14:textId="77777777" w:rsidR="00B416F0" w:rsidRDefault="007D1152">
      <w:pPr>
        <w:spacing w:line="276" w:lineRule="auto"/>
        <w:jc w:val="both"/>
        <w:rPr>
          <w:lang w:val="es-ES"/>
        </w:rPr>
      </w:pPr>
      <w:r w:rsidRPr="00B416F0">
        <w:rPr>
          <w:lang w:val="es-ES"/>
        </w:rPr>
        <w:t>L</w:t>
      </w:r>
      <w:r w:rsidR="00902010" w:rsidRPr="00B416F0">
        <w:rPr>
          <w:lang w:val="es-ES"/>
        </w:rPr>
        <w:t xml:space="preserve">a disminución sustancial de impuestos a estos productos electrónicos tiene el objetivo de lograr nuevos clientes y personas adictas </w:t>
      </w:r>
      <w:r w:rsidR="00F00B73" w:rsidRPr="00B416F0">
        <w:rPr>
          <w:lang w:val="es-ES"/>
        </w:rPr>
        <w:t xml:space="preserve">(el consumo de tabaco suele iniciarse en la adolescencia) </w:t>
      </w:r>
      <w:r w:rsidRPr="00B416F0">
        <w:rPr>
          <w:lang w:val="es-ES"/>
        </w:rPr>
        <w:t xml:space="preserve">a través de los actuales desarrollos de la industria transnacional de tabaco, que son precisamente los productos electrónicos (cigarrillo electrónico, dispositivos </w:t>
      </w:r>
      <w:r w:rsidR="00DC053C" w:rsidRPr="00B416F0">
        <w:rPr>
          <w:lang w:val="es-ES"/>
        </w:rPr>
        <w:t xml:space="preserve">electrónicos </w:t>
      </w:r>
      <w:r w:rsidRPr="00B416F0">
        <w:rPr>
          <w:lang w:val="es-ES"/>
        </w:rPr>
        <w:t>de tabaco calentado e insumos). No es de extrañarse que simultáneamente al decreto 645, la industria del ta</w:t>
      </w:r>
      <w:r w:rsidR="00D64760" w:rsidRPr="00B416F0">
        <w:rPr>
          <w:lang w:val="es-ES"/>
        </w:rPr>
        <w:t>baco esté impulsando con el Servicio Ecuatoriano de Normalización (INEN)</w:t>
      </w:r>
      <w:r w:rsidRPr="00B416F0">
        <w:rPr>
          <w:lang w:val="es-ES"/>
        </w:rPr>
        <w:t xml:space="preserve"> la normalización de productos de tabaco</w:t>
      </w:r>
      <w:r w:rsidR="00F00B73" w:rsidRPr="00B416F0">
        <w:rPr>
          <w:lang w:val="es-ES"/>
        </w:rPr>
        <w:t xml:space="preserve"> calentado</w:t>
      </w:r>
      <w:r w:rsidRPr="00B416F0">
        <w:rPr>
          <w:lang w:val="es-ES"/>
        </w:rPr>
        <w:t xml:space="preserve">, cuando ello no </w:t>
      </w:r>
      <w:r w:rsidR="00F00B73" w:rsidRPr="00B416F0">
        <w:rPr>
          <w:lang w:val="es-ES"/>
        </w:rPr>
        <w:t xml:space="preserve">corresponde, </w:t>
      </w:r>
      <w:r w:rsidRPr="00B416F0">
        <w:rPr>
          <w:lang w:val="es-ES"/>
        </w:rPr>
        <w:t>porque se trata de una droga adictiva y nociva que debería regularse</w:t>
      </w:r>
      <w:r w:rsidR="00D64760" w:rsidRPr="00B416F0">
        <w:rPr>
          <w:lang w:val="es-ES"/>
        </w:rPr>
        <w:t xml:space="preserve"> o prohibirse de acuerdo a las indicaciones internacionales sobre la materia,</w:t>
      </w:r>
      <w:r w:rsidRPr="00B416F0">
        <w:rPr>
          <w:lang w:val="es-ES"/>
        </w:rPr>
        <w:t xml:space="preserve"> más no normalizarse</w:t>
      </w:r>
      <w:r w:rsidR="00362522" w:rsidRPr="00B416F0">
        <w:rPr>
          <w:lang w:val="es-ES"/>
        </w:rPr>
        <w:t>.</w:t>
      </w:r>
    </w:p>
    <w:p w14:paraId="0C35E9D8" w14:textId="4603A36C" w:rsidR="007D1152" w:rsidRPr="00362522" w:rsidRDefault="007D1152">
      <w:pPr>
        <w:spacing w:line="276" w:lineRule="auto"/>
        <w:jc w:val="both"/>
        <w:rPr>
          <w:lang w:val="es-ES"/>
        </w:rPr>
      </w:pPr>
      <w:r w:rsidRPr="00362522">
        <w:rPr>
          <w:lang w:val="es-ES"/>
        </w:rPr>
        <w:lastRenderedPageBreak/>
        <w:t>De la misma manera, en armas de fuego, el decreto 645 disminuye enormemente el ICE (de 300% a 30%), aumentando la posibilidad del porte de armas y la violencia que se agrava con ello (accidentes con armas de fuego, suicidio, asesinatos y violencia armada, feminicidios y otras form</w:t>
      </w:r>
      <w:r w:rsidR="00D64760">
        <w:rPr>
          <w:lang w:val="es-ES"/>
        </w:rPr>
        <w:t>as de violencia intrafamiliar).</w:t>
      </w:r>
    </w:p>
    <w:p w14:paraId="07FEDE93" w14:textId="77777777" w:rsidR="00B416F0" w:rsidRPr="00362522" w:rsidRDefault="00B416F0" w:rsidP="00B416F0">
      <w:pPr>
        <w:spacing w:line="276" w:lineRule="auto"/>
        <w:jc w:val="both"/>
        <w:rPr>
          <w:rFonts w:cstheme="minorHAnsi"/>
          <w:lang w:val="es-ES"/>
        </w:rPr>
      </w:pPr>
    </w:p>
    <w:p w14:paraId="16558B62" w14:textId="7EEF8AA6" w:rsidR="00362522" w:rsidRDefault="00362522" w:rsidP="00E6577B">
      <w:pPr>
        <w:pStyle w:val="ListParagraph"/>
        <w:spacing w:line="276" w:lineRule="auto"/>
        <w:ind w:left="0"/>
        <w:jc w:val="center"/>
        <w:rPr>
          <w:rFonts w:cstheme="minorHAnsi"/>
          <w:b/>
          <w:lang w:val="es-ES"/>
        </w:rPr>
      </w:pPr>
      <w:r w:rsidRPr="00362522">
        <w:rPr>
          <w:rFonts w:cstheme="minorHAnsi"/>
          <w:b/>
          <w:lang w:val="es-ES"/>
        </w:rPr>
        <w:t>III. SOLICITUD</w:t>
      </w:r>
    </w:p>
    <w:p w14:paraId="14A14F5D" w14:textId="77777777" w:rsidR="00D64760" w:rsidRPr="00E6577B" w:rsidRDefault="00D64760" w:rsidP="00B416F0">
      <w:pPr>
        <w:pStyle w:val="ListParagraph"/>
        <w:spacing w:line="276" w:lineRule="auto"/>
        <w:ind w:left="0"/>
        <w:jc w:val="both"/>
        <w:rPr>
          <w:rFonts w:cstheme="minorHAnsi"/>
          <w:b/>
          <w:lang w:val="es-ES"/>
        </w:rPr>
      </w:pPr>
    </w:p>
    <w:p w14:paraId="34E3CBB8" w14:textId="77777777" w:rsidR="003A39E7" w:rsidRDefault="00AD2607" w:rsidP="00E6577B">
      <w:pPr>
        <w:spacing w:line="276" w:lineRule="auto"/>
        <w:jc w:val="both"/>
        <w:rPr>
          <w:rFonts w:cstheme="minorHAnsi"/>
          <w:lang w:val="es-ES"/>
        </w:rPr>
      </w:pPr>
      <w:r w:rsidRPr="00B416F0">
        <w:rPr>
          <w:rFonts w:cstheme="minorHAnsi"/>
          <w:lang w:val="es-ES"/>
        </w:rPr>
        <w:t>Con estos antecedentes</w:t>
      </w:r>
      <w:r w:rsidR="00DC053C" w:rsidRPr="00B416F0">
        <w:rPr>
          <w:rFonts w:cstheme="minorHAnsi"/>
          <w:lang w:val="es-ES"/>
        </w:rPr>
        <w:t>,</w:t>
      </w:r>
      <w:r w:rsidRPr="00B416F0">
        <w:rPr>
          <w:rFonts w:cstheme="minorHAnsi"/>
          <w:lang w:val="es-ES"/>
        </w:rPr>
        <w:t xml:space="preserve"> solicito</w:t>
      </w:r>
      <w:r w:rsidR="003A39E7">
        <w:rPr>
          <w:rFonts w:cstheme="minorHAnsi"/>
          <w:lang w:val="es-ES"/>
        </w:rPr>
        <w:t>:</w:t>
      </w:r>
    </w:p>
    <w:p w14:paraId="315713FC" w14:textId="075BF0D3" w:rsidR="00DC053C" w:rsidRDefault="003A39E7" w:rsidP="003A39E7">
      <w:pPr>
        <w:pStyle w:val="ListParagraph"/>
        <w:numPr>
          <w:ilvl w:val="0"/>
          <w:numId w:val="11"/>
        </w:numPr>
        <w:spacing w:line="276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S</w:t>
      </w:r>
      <w:r w:rsidR="00DC053C" w:rsidRPr="003A39E7">
        <w:rPr>
          <w:rFonts w:cstheme="minorHAnsi"/>
          <w:lang w:val="es-ES"/>
        </w:rPr>
        <w:t xml:space="preserve">e </w:t>
      </w:r>
      <w:r w:rsidR="00CC4212" w:rsidRPr="003A39E7">
        <w:rPr>
          <w:rFonts w:cstheme="minorHAnsi"/>
          <w:lang w:val="es-ES"/>
        </w:rPr>
        <w:t>tome en cuenta</w:t>
      </w:r>
      <w:r w:rsidR="00AD2607" w:rsidRPr="003A39E7">
        <w:rPr>
          <w:rFonts w:cstheme="minorHAnsi"/>
          <w:lang w:val="es-ES"/>
        </w:rPr>
        <w:t xml:space="preserve"> mis argumentos </w:t>
      </w:r>
      <w:r w:rsidR="00CC4212" w:rsidRPr="003A39E7">
        <w:rPr>
          <w:rFonts w:cstheme="minorHAnsi"/>
          <w:lang w:val="es-ES"/>
        </w:rPr>
        <w:t xml:space="preserve">para este proceso y para </w:t>
      </w:r>
      <w:r w:rsidR="00AD2607" w:rsidRPr="003A39E7">
        <w:rPr>
          <w:rFonts w:cstheme="minorHAnsi"/>
          <w:lang w:val="es-ES"/>
        </w:rPr>
        <w:t>la Audiencia Pública que solicitamos se convoque dentro de esta instancia.</w:t>
      </w:r>
    </w:p>
    <w:p w14:paraId="6D327DA1" w14:textId="5FABE609" w:rsidR="003A39E7" w:rsidRPr="003A39E7" w:rsidRDefault="003A39E7" w:rsidP="003A39E7">
      <w:pPr>
        <w:pStyle w:val="ListParagraph"/>
        <w:numPr>
          <w:ilvl w:val="0"/>
          <w:numId w:val="11"/>
        </w:numPr>
        <w:spacing w:line="276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Se pueda</w:t>
      </w:r>
      <w:bookmarkStart w:id="0" w:name="_GoBack"/>
      <w:bookmarkEnd w:id="0"/>
      <w:r>
        <w:rPr>
          <w:rFonts w:cstheme="minorHAnsi"/>
          <w:lang w:val="es-ES"/>
        </w:rPr>
        <w:t xml:space="preserve"> escuchar en la Audiencia Pública a los accionantes, testigos y amicus curiae.</w:t>
      </w:r>
    </w:p>
    <w:p w14:paraId="7C3287F2" w14:textId="77777777" w:rsidR="00A22224" w:rsidRDefault="00A22224" w:rsidP="00B416F0">
      <w:pPr>
        <w:spacing w:line="276" w:lineRule="auto"/>
        <w:jc w:val="both"/>
        <w:rPr>
          <w:rFonts w:cstheme="minorHAnsi"/>
          <w:lang w:val="es-ES"/>
        </w:rPr>
      </w:pPr>
    </w:p>
    <w:p w14:paraId="0B6E5032" w14:textId="32F3D818" w:rsidR="00D64760" w:rsidRPr="00D64760" w:rsidRDefault="00D64760" w:rsidP="00B416F0">
      <w:pPr>
        <w:spacing w:line="276" w:lineRule="auto"/>
        <w:jc w:val="center"/>
        <w:rPr>
          <w:rFonts w:cstheme="minorHAnsi"/>
          <w:b/>
          <w:lang w:val="es-ES"/>
        </w:rPr>
      </w:pPr>
      <w:r w:rsidRPr="00D64760">
        <w:rPr>
          <w:rFonts w:cstheme="minorHAnsi"/>
          <w:b/>
          <w:lang w:val="es-ES"/>
        </w:rPr>
        <w:t>IV. NOTIFICACIONES</w:t>
      </w:r>
    </w:p>
    <w:p w14:paraId="4FB5EAC8" w14:textId="77777777" w:rsidR="00D64760" w:rsidRDefault="00D64760" w:rsidP="00B416F0">
      <w:pPr>
        <w:spacing w:line="276" w:lineRule="auto"/>
        <w:jc w:val="both"/>
        <w:rPr>
          <w:rFonts w:cstheme="minorHAnsi"/>
          <w:lang w:val="es-ES"/>
        </w:rPr>
      </w:pPr>
    </w:p>
    <w:p w14:paraId="39964D18" w14:textId="77777777" w:rsidR="00A22224" w:rsidRPr="00362522" w:rsidRDefault="00A22224" w:rsidP="00B416F0">
      <w:pPr>
        <w:spacing w:line="276" w:lineRule="auto"/>
        <w:jc w:val="both"/>
        <w:rPr>
          <w:rFonts w:cstheme="minorHAnsi"/>
          <w:lang w:val="es-ES"/>
        </w:rPr>
      </w:pPr>
      <w:r w:rsidRPr="00362522">
        <w:rPr>
          <w:rFonts w:cstheme="minorHAnsi"/>
          <w:lang w:val="es-ES"/>
        </w:rPr>
        <w:t xml:space="preserve">Notificaciones que me corresponden las recibiré en el correo electrónico </w:t>
      </w:r>
      <w:r w:rsidR="00AD2607" w:rsidRPr="00362522">
        <w:rPr>
          <w:rFonts w:cstheme="minorHAnsi"/>
          <w:highlight w:val="yellow"/>
          <w:lang w:val="es-ES"/>
        </w:rPr>
        <w:t>XXXXX</w:t>
      </w:r>
      <w:r w:rsidR="00AD2607" w:rsidRPr="00362522">
        <w:rPr>
          <w:rFonts w:cstheme="minorHAnsi"/>
          <w:lang w:val="es-ES"/>
        </w:rPr>
        <w:t>.</w:t>
      </w:r>
    </w:p>
    <w:p w14:paraId="56186710" w14:textId="77777777" w:rsidR="00A22224" w:rsidRPr="00362522" w:rsidRDefault="00A22224" w:rsidP="00B416F0">
      <w:pPr>
        <w:spacing w:line="276" w:lineRule="auto"/>
        <w:ind w:firstLine="360"/>
        <w:jc w:val="both"/>
        <w:rPr>
          <w:rFonts w:cstheme="minorHAnsi"/>
          <w:lang w:val="es-ES"/>
        </w:rPr>
      </w:pPr>
    </w:p>
    <w:p w14:paraId="10FCE13C" w14:textId="77777777" w:rsidR="00D64760" w:rsidRDefault="00D64760" w:rsidP="00B416F0">
      <w:pPr>
        <w:spacing w:line="276" w:lineRule="auto"/>
        <w:jc w:val="both"/>
        <w:rPr>
          <w:rFonts w:cstheme="minorHAnsi"/>
          <w:lang w:val="es-ES"/>
        </w:rPr>
      </w:pPr>
    </w:p>
    <w:p w14:paraId="505987D3" w14:textId="77777777" w:rsidR="00D64760" w:rsidRDefault="00D64760" w:rsidP="00B416F0">
      <w:pPr>
        <w:spacing w:line="276" w:lineRule="auto"/>
        <w:jc w:val="both"/>
        <w:rPr>
          <w:rFonts w:cstheme="minorHAnsi"/>
          <w:lang w:val="es-ES"/>
        </w:rPr>
      </w:pPr>
    </w:p>
    <w:p w14:paraId="0136A663" w14:textId="15BC7901" w:rsidR="00A22224" w:rsidRPr="00362522" w:rsidRDefault="00AD2607" w:rsidP="00B416F0">
      <w:pPr>
        <w:spacing w:line="276" w:lineRule="auto"/>
        <w:jc w:val="both"/>
        <w:rPr>
          <w:rFonts w:cstheme="minorHAnsi"/>
          <w:lang w:val="es-ES"/>
        </w:rPr>
      </w:pPr>
      <w:r w:rsidRPr="00362522">
        <w:rPr>
          <w:rFonts w:cstheme="minorHAnsi"/>
          <w:lang w:val="es-ES"/>
        </w:rPr>
        <w:t>Atentamente,</w:t>
      </w:r>
    </w:p>
    <w:p w14:paraId="74E81A27" w14:textId="748051F9" w:rsidR="00A22224" w:rsidRPr="00362522" w:rsidRDefault="00A22224" w:rsidP="00B416F0">
      <w:pPr>
        <w:spacing w:line="276" w:lineRule="auto"/>
        <w:jc w:val="both"/>
        <w:rPr>
          <w:rFonts w:cstheme="minorHAnsi"/>
          <w:lang w:val="es-ES"/>
        </w:rPr>
      </w:pPr>
    </w:p>
    <w:p w14:paraId="1721D66C" w14:textId="53BC0669" w:rsidR="00CC4212" w:rsidRPr="00362522" w:rsidRDefault="00CC4212" w:rsidP="00B416F0">
      <w:pPr>
        <w:spacing w:line="276" w:lineRule="auto"/>
        <w:jc w:val="both"/>
        <w:rPr>
          <w:rFonts w:cstheme="minorHAnsi"/>
          <w:lang w:val="es-ES"/>
        </w:rPr>
      </w:pPr>
      <w:r w:rsidRPr="00362522">
        <w:rPr>
          <w:rFonts w:cstheme="minorHAnsi"/>
          <w:lang w:val="es-ES"/>
        </w:rPr>
        <w:t>(</w:t>
      </w:r>
      <w:r w:rsidRPr="00362522">
        <w:rPr>
          <w:rFonts w:cstheme="minorHAnsi"/>
          <w:highlight w:val="yellow"/>
          <w:lang w:val="es-ES"/>
        </w:rPr>
        <w:t>nombre xxxxx</w:t>
      </w:r>
      <w:r w:rsidRPr="00362522">
        <w:rPr>
          <w:rFonts w:cstheme="minorHAnsi"/>
          <w:lang w:val="es-ES"/>
        </w:rPr>
        <w:t>)</w:t>
      </w:r>
    </w:p>
    <w:p w14:paraId="373440F8" w14:textId="77777777" w:rsidR="00CC4212" w:rsidRPr="00362522" w:rsidRDefault="00CC4212" w:rsidP="00B416F0">
      <w:pPr>
        <w:spacing w:line="276" w:lineRule="auto"/>
        <w:jc w:val="both"/>
        <w:rPr>
          <w:rFonts w:cstheme="minorHAnsi"/>
          <w:lang w:val="es-ES"/>
        </w:rPr>
      </w:pPr>
    </w:p>
    <w:p w14:paraId="1295B62A" w14:textId="385CC3B7" w:rsidR="00CC4212" w:rsidRPr="00362522" w:rsidRDefault="00CC4212" w:rsidP="00B416F0">
      <w:pPr>
        <w:spacing w:line="276" w:lineRule="auto"/>
        <w:jc w:val="both"/>
        <w:rPr>
          <w:rFonts w:cstheme="minorHAnsi"/>
          <w:lang w:val="es-ES"/>
        </w:rPr>
      </w:pPr>
      <w:r w:rsidRPr="00362522">
        <w:rPr>
          <w:rFonts w:cstheme="minorHAnsi"/>
          <w:lang w:val="es-ES"/>
        </w:rPr>
        <w:t>Adjunto copia de mi documento de identificación</w:t>
      </w:r>
    </w:p>
    <w:p w14:paraId="3B571101" w14:textId="77777777" w:rsidR="00CC4212" w:rsidRPr="00362522" w:rsidRDefault="00CC4212" w:rsidP="00B416F0">
      <w:pPr>
        <w:spacing w:line="276" w:lineRule="auto"/>
        <w:jc w:val="both"/>
        <w:rPr>
          <w:rFonts w:cstheme="minorHAnsi"/>
          <w:lang w:val="es-ES"/>
        </w:rPr>
      </w:pPr>
    </w:p>
    <w:p w14:paraId="6A8337E3" w14:textId="74CE14A7" w:rsidR="00CC4212" w:rsidRPr="00362522" w:rsidRDefault="00CC4212" w:rsidP="00B416F0">
      <w:pPr>
        <w:spacing w:line="276" w:lineRule="auto"/>
        <w:jc w:val="both"/>
        <w:rPr>
          <w:rFonts w:cstheme="minorHAnsi"/>
        </w:rPr>
      </w:pPr>
      <w:r w:rsidRPr="00362522">
        <w:rPr>
          <w:rFonts w:cstheme="minorHAnsi"/>
          <w:lang w:val="es-ES"/>
        </w:rPr>
        <w:t>(</w:t>
      </w:r>
      <w:r w:rsidRPr="00362522">
        <w:rPr>
          <w:rFonts w:cstheme="minorHAnsi"/>
          <w:highlight w:val="yellow"/>
          <w:lang w:val="es-ES"/>
        </w:rPr>
        <w:t>adjuntar copia de cédula de identidad o documento de identificación</w:t>
      </w:r>
      <w:r w:rsidRPr="00362522">
        <w:rPr>
          <w:rFonts w:cstheme="minorHAnsi"/>
          <w:lang w:val="es-ES"/>
        </w:rPr>
        <w:t>)</w:t>
      </w:r>
    </w:p>
    <w:sectPr w:rsidR="00CC4212" w:rsidRPr="00362522" w:rsidSect="00F87EF6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DE3E1" w14:textId="77777777" w:rsidR="00665D77" w:rsidRDefault="00665D77" w:rsidP="00B416F0">
      <w:r>
        <w:separator/>
      </w:r>
    </w:p>
  </w:endnote>
  <w:endnote w:type="continuationSeparator" w:id="0">
    <w:p w14:paraId="34EB1E63" w14:textId="77777777" w:rsidR="00665D77" w:rsidRDefault="00665D77" w:rsidP="00B4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2312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EB414A" w14:textId="4CE56495" w:rsidR="00B416F0" w:rsidRDefault="00B416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39E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B22DE9F" w14:textId="77777777" w:rsidR="00B416F0" w:rsidRDefault="00B416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0B547" w14:textId="77777777" w:rsidR="00665D77" w:rsidRDefault="00665D77" w:rsidP="00B416F0">
      <w:r>
        <w:separator/>
      </w:r>
    </w:p>
  </w:footnote>
  <w:footnote w:type="continuationSeparator" w:id="0">
    <w:p w14:paraId="67F86063" w14:textId="77777777" w:rsidR="00665D77" w:rsidRDefault="00665D77" w:rsidP="00B41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C4A0F"/>
    <w:multiLevelType w:val="hybridMultilevel"/>
    <w:tmpl w:val="AEBCC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068D0"/>
    <w:multiLevelType w:val="hybridMultilevel"/>
    <w:tmpl w:val="622485AC"/>
    <w:lvl w:ilvl="0" w:tplc="0D1EB7A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530B1"/>
    <w:multiLevelType w:val="hybridMultilevel"/>
    <w:tmpl w:val="E4B46B0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93BDC"/>
    <w:multiLevelType w:val="hybridMultilevel"/>
    <w:tmpl w:val="1466EC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0452A"/>
    <w:multiLevelType w:val="hybridMultilevel"/>
    <w:tmpl w:val="6C30F9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35630"/>
    <w:multiLevelType w:val="hybridMultilevel"/>
    <w:tmpl w:val="7DD6F06C"/>
    <w:lvl w:ilvl="0" w:tplc="713C8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D1F61"/>
    <w:multiLevelType w:val="hybridMultilevel"/>
    <w:tmpl w:val="03BCB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8629D"/>
    <w:multiLevelType w:val="hybridMultilevel"/>
    <w:tmpl w:val="EFE84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7227C"/>
    <w:multiLevelType w:val="hybridMultilevel"/>
    <w:tmpl w:val="4B30F7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20066"/>
    <w:multiLevelType w:val="hybridMultilevel"/>
    <w:tmpl w:val="9E06CEAE"/>
    <w:lvl w:ilvl="0" w:tplc="DD7EE7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95C0F"/>
    <w:multiLevelType w:val="hybridMultilevel"/>
    <w:tmpl w:val="D352B23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5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24"/>
    <w:rsid w:val="00090C55"/>
    <w:rsid w:val="00092563"/>
    <w:rsid w:val="000D0FEB"/>
    <w:rsid w:val="00191784"/>
    <w:rsid w:val="00362522"/>
    <w:rsid w:val="003A39E7"/>
    <w:rsid w:val="00665D77"/>
    <w:rsid w:val="00762412"/>
    <w:rsid w:val="00792A85"/>
    <w:rsid w:val="007944FF"/>
    <w:rsid w:val="007D1152"/>
    <w:rsid w:val="008019CA"/>
    <w:rsid w:val="00902010"/>
    <w:rsid w:val="009843BF"/>
    <w:rsid w:val="00A22224"/>
    <w:rsid w:val="00AD042E"/>
    <w:rsid w:val="00AD2607"/>
    <w:rsid w:val="00B416F0"/>
    <w:rsid w:val="00B4620C"/>
    <w:rsid w:val="00CC4212"/>
    <w:rsid w:val="00D64760"/>
    <w:rsid w:val="00DC053C"/>
    <w:rsid w:val="00E3779A"/>
    <w:rsid w:val="00E6577B"/>
    <w:rsid w:val="00F00B73"/>
    <w:rsid w:val="00F87EF6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2A5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222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26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16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6F0"/>
  </w:style>
  <w:style w:type="paragraph" w:styleId="Footer">
    <w:name w:val="footer"/>
    <w:basedOn w:val="Normal"/>
    <w:link w:val="FooterChar"/>
    <w:uiPriority w:val="99"/>
    <w:unhideWhenUsed/>
    <w:rsid w:val="00B416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Паломо  Санчес Сесар Августо</dc:creator>
  <cp:keywords/>
  <dc:description/>
  <cp:lastModifiedBy>Autor</cp:lastModifiedBy>
  <cp:revision>2</cp:revision>
  <dcterms:created xsi:type="dcterms:W3CDTF">2023-11-10T16:24:00Z</dcterms:created>
  <dcterms:modified xsi:type="dcterms:W3CDTF">2023-11-10T16:24:00Z</dcterms:modified>
</cp:coreProperties>
</file>